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61" w:rsidRPr="0059037F" w:rsidRDefault="00A5066E">
      <w:pPr>
        <w:pBdr>
          <w:bottom w:val="single" w:sz="12" w:space="1" w:color="auto"/>
        </w:pBdr>
        <w:rPr>
          <w:rFonts w:ascii="Arial" w:hAnsi="Arial" w:cs="Arial"/>
          <w:b/>
          <w:sz w:val="24"/>
          <w:szCs w:val="24"/>
        </w:rPr>
      </w:pPr>
      <w:r w:rsidRPr="0059037F">
        <w:rPr>
          <w:rFonts w:ascii="Arial" w:hAnsi="Arial" w:cs="Arial"/>
          <w:b/>
          <w:sz w:val="24"/>
          <w:szCs w:val="24"/>
        </w:rPr>
        <w:t>BCH CQUIN – Quality Premium</w:t>
      </w:r>
    </w:p>
    <w:p w:rsidR="00A5066E" w:rsidRPr="0059037F" w:rsidRDefault="00A5066E">
      <w:pPr>
        <w:rPr>
          <w:rFonts w:ascii="Arial" w:hAnsi="Arial" w:cs="Arial"/>
          <w:sz w:val="24"/>
          <w:szCs w:val="24"/>
        </w:rPr>
      </w:pPr>
    </w:p>
    <w:p w:rsidR="00A5066E" w:rsidRPr="0059037F" w:rsidRDefault="00A5066E">
      <w:pPr>
        <w:rPr>
          <w:rFonts w:ascii="Arial" w:hAnsi="Arial" w:cs="Arial"/>
          <w:b/>
          <w:sz w:val="24"/>
          <w:szCs w:val="24"/>
        </w:rPr>
      </w:pPr>
      <w:r w:rsidRPr="0059037F">
        <w:rPr>
          <w:rFonts w:ascii="Arial" w:hAnsi="Arial" w:cs="Arial"/>
          <w:b/>
          <w:sz w:val="24"/>
          <w:szCs w:val="24"/>
        </w:rPr>
        <w:t>Patient Safety</w:t>
      </w:r>
    </w:p>
    <w:tbl>
      <w:tblPr>
        <w:tblStyle w:val="TableGrid"/>
        <w:tblW w:w="0" w:type="auto"/>
        <w:tblLook w:val="04A0" w:firstRow="1" w:lastRow="0" w:firstColumn="1" w:lastColumn="0" w:noHBand="0" w:noVBand="1"/>
      </w:tblPr>
      <w:tblGrid>
        <w:gridCol w:w="2660"/>
        <w:gridCol w:w="6582"/>
      </w:tblGrid>
      <w:tr w:rsidR="00A5066E" w:rsidRPr="0059037F" w:rsidTr="00A5066E">
        <w:tc>
          <w:tcPr>
            <w:tcW w:w="2660" w:type="dxa"/>
          </w:tcPr>
          <w:p w:rsidR="00A5066E" w:rsidRPr="0059037F" w:rsidRDefault="00A5066E">
            <w:pPr>
              <w:rPr>
                <w:rFonts w:ascii="Arial" w:hAnsi="Arial" w:cs="Arial"/>
                <w:sz w:val="24"/>
                <w:szCs w:val="24"/>
              </w:rPr>
            </w:pPr>
            <w:r w:rsidRPr="0059037F">
              <w:rPr>
                <w:rFonts w:ascii="Arial" w:hAnsi="Arial" w:cs="Arial"/>
                <w:sz w:val="24"/>
                <w:szCs w:val="24"/>
              </w:rPr>
              <w:t>Quality premium measure</w:t>
            </w:r>
          </w:p>
        </w:tc>
        <w:tc>
          <w:tcPr>
            <w:tcW w:w="6582" w:type="dxa"/>
          </w:tcPr>
          <w:p w:rsidR="00A5066E" w:rsidRPr="0059037F" w:rsidRDefault="00A5066E">
            <w:pPr>
              <w:rPr>
                <w:rFonts w:ascii="Arial" w:hAnsi="Arial" w:cs="Arial"/>
                <w:b/>
                <w:sz w:val="24"/>
                <w:szCs w:val="24"/>
              </w:rPr>
            </w:pPr>
            <w:r w:rsidRPr="0059037F">
              <w:rPr>
                <w:rFonts w:ascii="Arial" w:hAnsi="Arial" w:cs="Arial"/>
                <w:b/>
                <w:sz w:val="24"/>
                <w:szCs w:val="24"/>
              </w:rPr>
              <w:t xml:space="preserve">Improved antibiotic prescribing in community services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This is a composite CQUIN consisting of two parts: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Part a) reduction in the number of antibiotics prescribed </w:t>
            </w:r>
            <w:r w:rsidR="00397214" w:rsidRPr="0059037F">
              <w:rPr>
                <w:rFonts w:ascii="Arial" w:hAnsi="Arial" w:cs="Arial"/>
                <w:sz w:val="24"/>
                <w:szCs w:val="24"/>
              </w:rPr>
              <w:t>by BCH staff</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Part b) reduction in the proportion of broad spectrum antibiotics </w:t>
            </w:r>
            <w:r w:rsidR="00397214" w:rsidRPr="0059037F">
              <w:rPr>
                <w:rFonts w:ascii="Arial" w:hAnsi="Arial" w:cs="Arial"/>
                <w:sz w:val="24"/>
                <w:szCs w:val="24"/>
              </w:rPr>
              <w:t>prescribed by BCH staff</w:t>
            </w:r>
          </w:p>
          <w:p w:rsidR="00A5066E" w:rsidRPr="0059037F" w:rsidRDefault="00A5066E" w:rsidP="00A5066E">
            <w:pPr>
              <w:rPr>
                <w:rFonts w:ascii="Arial" w:hAnsi="Arial" w:cs="Arial"/>
                <w:sz w:val="24"/>
                <w:szCs w:val="24"/>
              </w:rPr>
            </w:pPr>
          </w:p>
        </w:tc>
      </w:tr>
      <w:tr w:rsidR="00A5066E" w:rsidRPr="0059037F" w:rsidTr="00A5066E">
        <w:tc>
          <w:tcPr>
            <w:tcW w:w="2660" w:type="dxa"/>
          </w:tcPr>
          <w:p w:rsidR="00A5066E" w:rsidRPr="0059037F" w:rsidRDefault="00A5066E">
            <w:pPr>
              <w:rPr>
                <w:rFonts w:ascii="Arial" w:hAnsi="Arial" w:cs="Arial"/>
                <w:sz w:val="24"/>
                <w:szCs w:val="24"/>
              </w:rPr>
            </w:pPr>
            <w:r w:rsidRPr="0059037F">
              <w:rPr>
                <w:rFonts w:ascii="Arial" w:hAnsi="Arial" w:cs="Arial"/>
                <w:sz w:val="24"/>
                <w:szCs w:val="24"/>
              </w:rPr>
              <w:t>Threshold</w:t>
            </w:r>
          </w:p>
        </w:tc>
        <w:tc>
          <w:tcPr>
            <w:tcW w:w="6582" w:type="dxa"/>
          </w:tcPr>
          <w:p w:rsidR="00A5066E" w:rsidRPr="0059037F" w:rsidRDefault="0059037F">
            <w:pPr>
              <w:rPr>
                <w:rFonts w:ascii="Arial" w:hAnsi="Arial" w:cs="Arial"/>
                <w:sz w:val="24"/>
                <w:szCs w:val="24"/>
              </w:rPr>
            </w:pPr>
            <w:r>
              <w:rPr>
                <w:rFonts w:ascii="Arial" w:hAnsi="Arial" w:cs="Arial"/>
                <w:sz w:val="24"/>
                <w:szCs w:val="24"/>
              </w:rPr>
              <w:t>The two</w:t>
            </w:r>
            <w:r w:rsidR="00A5066E" w:rsidRPr="0059037F">
              <w:rPr>
                <w:rFonts w:ascii="Arial" w:hAnsi="Arial" w:cs="Arial"/>
                <w:sz w:val="24"/>
                <w:szCs w:val="24"/>
              </w:rPr>
              <w:t xml:space="preserve"> parts of the quality premium have specific thresholds as follows: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Part a) reduction in the number of antibiotics prescribed </w:t>
            </w:r>
            <w:r w:rsidR="00397214" w:rsidRPr="0059037F">
              <w:rPr>
                <w:rFonts w:ascii="Arial" w:hAnsi="Arial" w:cs="Arial"/>
                <w:sz w:val="24"/>
                <w:szCs w:val="24"/>
              </w:rPr>
              <w:t>by BCH staff</w:t>
            </w:r>
            <w:r w:rsidRPr="0059037F">
              <w:rPr>
                <w:rFonts w:ascii="Arial" w:hAnsi="Arial" w:cs="Arial"/>
                <w:sz w:val="24"/>
                <w:szCs w:val="24"/>
              </w:rPr>
              <w:t xml:space="preserve"> </w:t>
            </w:r>
            <w:r w:rsidR="00DC573B">
              <w:rPr>
                <w:rFonts w:ascii="Arial" w:hAnsi="Arial" w:cs="Arial"/>
                <w:sz w:val="24"/>
                <w:szCs w:val="24"/>
              </w:rPr>
              <w:t xml:space="preserve">as a proportion of total prescriptions </w:t>
            </w:r>
            <w:r w:rsidR="00BD638D">
              <w:rPr>
                <w:rFonts w:ascii="Arial" w:hAnsi="Arial" w:cs="Arial"/>
                <w:sz w:val="24"/>
                <w:szCs w:val="24"/>
              </w:rPr>
              <w:t>by 3</w:t>
            </w:r>
            <w:r w:rsidRPr="0059037F">
              <w:rPr>
                <w:rFonts w:ascii="Arial" w:hAnsi="Arial" w:cs="Arial"/>
                <w:sz w:val="24"/>
                <w:szCs w:val="24"/>
              </w:rPr>
              <w:t>% (or greater) from the 2013/14 value</w:t>
            </w:r>
            <w:r w:rsidR="00BD638D">
              <w:rPr>
                <w:rFonts w:ascii="Arial" w:hAnsi="Arial" w:cs="Arial"/>
                <w:sz w:val="24"/>
                <w:szCs w:val="24"/>
              </w:rPr>
              <w:t>. NB: 2013/14 value was 31%</w:t>
            </w:r>
            <w:r w:rsidR="00CF4037">
              <w:rPr>
                <w:rFonts w:ascii="Arial" w:hAnsi="Arial" w:cs="Arial"/>
                <w:sz w:val="24"/>
                <w:szCs w:val="24"/>
              </w:rPr>
              <w:t>; see appendix 1</w:t>
            </w:r>
            <w:r w:rsidRPr="0059037F">
              <w:rPr>
                <w:rFonts w:ascii="Arial" w:hAnsi="Arial" w:cs="Arial"/>
                <w:sz w:val="24"/>
                <w:szCs w:val="24"/>
              </w:rPr>
              <w:t xml:space="preserve">.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Part b) number of co-</w:t>
            </w:r>
            <w:proofErr w:type="spellStart"/>
            <w:r w:rsidRPr="0059037F">
              <w:rPr>
                <w:rFonts w:ascii="Arial" w:hAnsi="Arial" w:cs="Arial"/>
                <w:sz w:val="24"/>
                <w:szCs w:val="24"/>
              </w:rPr>
              <w:t>amoxiclav</w:t>
            </w:r>
            <w:proofErr w:type="spellEnd"/>
            <w:r w:rsidRPr="0059037F">
              <w:rPr>
                <w:rFonts w:ascii="Arial" w:hAnsi="Arial" w:cs="Arial"/>
                <w:sz w:val="24"/>
                <w:szCs w:val="24"/>
              </w:rPr>
              <w:t xml:space="preserve">, </w:t>
            </w:r>
            <w:proofErr w:type="spellStart"/>
            <w:r w:rsidRPr="0059037F">
              <w:rPr>
                <w:rFonts w:ascii="Arial" w:hAnsi="Arial" w:cs="Arial"/>
                <w:sz w:val="24"/>
                <w:szCs w:val="24"/>
              </w:rPr>
              <w:t>cephalosporins</w:t>
            </w:r>
            <w:proofErr w:type="spellEnd"/>
            <w:r w:rsidRPr="0059037F">
              <w:rPr>
                <w:rFonts w:ascii="Arial" w:hAnsi="Arial" w:cs="Arial"/>
                <w:sz w:val="24"/>
                <w:szCs w:val="24"/>
              </w:rPr>
              <w:t xml:space="preserve"> and quinolones </w:t>
            </w:r>
            <w:r w:rsidR="00397214" w:rsidRPr="0059037F">
              <w:rPr>
                <w:rFonts w:ascii="Arial" w:hAnsi="Arial" w:cs="Arial"/>
                <w:sz w:val="24"/>
                <w:szCs w:val="24"/>
              </w:rPr>
              <w:t xml:space="preserve">prescriptions </w:t>
            </w:r>
            <w:r w:rsidRPr="0059037F">
              <w:rPr>
                <w:rFonts w:ascii="Arial" w:hAnsi="Arial" w:cs="Arial"/>
                <w:sz w:val="24"/>
                <w:szCs w:val="24"/>
              </w:rPr>
              <w:t xml:space="preserve">as a percentage of the total number of antibiotics </w:t>
            </w:r>
            <w:r w:rsidR="00397214" w:rsidRPr="0059037F">
              <w:rPr>
                <w:rFonts w:ascii="Arial" w:hAnsi="Arial" w:cs="Arial"/>
                <w:sz w:val="24"/>
                <w:szCs w:val="24"/>
              </w:rPr>
              <w:t>prescribed by BCH staff</w:t>
            </w:r>
            <w:r w:rsidRPr="0059037F">
              <w:rPr>
                <w:rFonts w:ascii="Arial" w:hAnsi="Arial" w:cs="Arial"/>
                <w:sz w:val="24"/>
                <w:szCs w:val="24"/>
              </w:rPr>
              <w:t xml:space="preserve"> to be reduced to be below the 2013/14 median proportion for English CCGs (11.3%)</w:t>
            </w:r>
            <w:r w:rsidR="00BD638D">
              <w:rPr>
                <w:rFonts w:ascii="Arial" w:hAnsi="Arial" w:cs="Arial"/>
                <w:sz w:val="24"/>
                <w:szCs w:val="24"/>
              </w:rPr>
              <w:t>. NB: 2013/14 value is 18%</w:t>
            </w:r>
            <w:r w:rsidR="00CF4037">
              <w:rPr>
                <w:rFonts w:ascii="Arial" w:hAnsi="Arial" w:cs="Arial"/>
                <w:sz w:val="24"/>
                <w:szCs w:val="24"/>
              </w:rPr>
              <w:t>; see appendix 2</w:t>
            </w:r>
            <w:r w:rsidR="00BD638D">
              <w:rPr>
                <w:rFonts w:ascii="Arial" w:hAnsi="Arial" w:cs="Arial"/>
                <w:sz w:val="24"/>
                <w:szCs w:val="24"/>
              </w:rPr>
              <w:t>.</w:t>
            </w:r>
          </w:p>
          <w:p w:rsidR="00A5066E" w:rsidRPr="0059037F" w:rsidRDefault="00A5066E">
            <w:pPr>
              <w:rPr>
                <w:rFonts w:ascii="Arial" w:hAnsi="Arial" w:cs="Arial"/>
                <w:sz w:val="24"/>
                <w:szCs w:val="24"/>
              </w:rPr>
            </w:pPr>
          </w:p>
        </w:tc>
      </w:tr>
      <w:tr w:rsidR="00A5066E" w:rsidRPr="0059037F" w:rsidTr="00A5066E">
        <w:tc>
          <w:tcPr>
            <w:tcW w:w="2660" w:type="dxa"/>
          </w:tcPr>
          <w:p w:rsidR="00A5066E" w:rsidRPr="0059037F" w:rsidRDefault="00A5066E">
            <w:pPr>
              <w:rPr>
                <w:rFonts w:ascii="Arial" w:hAnsi="Arial" w:cs="Arial"/>
                <w:sz w:val="24"/>
                <w:szCs w:val="24"/>
              </w:rPr>
            </w:pPr>
            <w:r w:rsidRPr="0059037F">
              <w:rPr>
                <w:rFonts w:ascii="Arial" w:hAnsi="Arial" w:cs="Arial"/>
                <w:sz w:val="24"/>
                <w:szCs w:val="24"/>
              </w:rPr>
              <w:t>Value</w:t>
            </w:r>
          </w:p>
        </w:tc>
        <w:tc>
          <w:tcPr>
            <w:tcW w:w="6582" w:type="dxa"/>
          </w:tcPr>
          <w:p w:rsidR="00A5066E" w:rsidRPr="0059037F" w:rsidRDefault="00A5066E" w:rsidP="00A5066E">
            <w:pPr>
              <w:tabs>
                <w:tab w:val="left" w:pos="1257"/>
              </w:tabs>
              <w:rPr>
                <w:rFonts w:ascii="Arial" w:hAnsi="Arial" w:cs="Arial"/>
                <w:sz w:val="24"/>
                <w:szCs w:val="24"/>
              </w:rPr>
            </w:pPr>
            <w:r w:rsidRPr="0059037F">
              <w:rPr>
                <w:rFonts w:ascii="Arial" w:hAnsi="Arial" w:cs="Arial"/>
                <w:sz w:val="24"/>
                <w:szCs w:val="24"/>
              </w:rPr>
              <w:t xml:space="preserve">The value of the </w:t>
            </w:r>
            <w:r w:rsidR="0059037F">
              <w:rPr>
                <w:rFonts w:ascii="Arial" w:hAnsi="Arial" w:cs="Arial"/>
                <w:sz w:val="24"/>
                <w:szCs w:val="24"/>
              </w:rPr>
              <w:t>CQUIN</w:t>
            </w:r>
            <w:r w:rsidRPr="0059037F">
              <w:rPr>
                <w:rFonts w:ascii="Arial" w:hAnsi="Arial" w:cs="Arial"/>
                <w:sz w:val="24"/>
                <w:szCs w:val="24"/>
              </w:rPr>
              <w:t xml:space="preserve"> will be differentially weighted as follows: </w:t>
            </w:r>
          </w:p>
          <w:p w:rsidR="00A5066E" w:rsidRPr="0059037F" w:rsidRDefault="00A5066E" w:rsidP="00A5066E">
            <w:pPr>
              <w:tabs>
                <w:tab w:val="left" w:pos="1257"/>
              </w:tabs>
              <w:rPr>
                <w:rFonts w:ascii="Arial" w:hAnsi="Arial" w:cs="Arial"/>
                <w:sz w:val="24"/>
                <w:szCs w:val="24"/>
              </w:rPr>
            </w:pPr>
          </w:p>
          <w:p w:rsidR="00A5066E" w:rsidRPr="0059037F" w:rsidRDefault="00A5066E" w:rsidP="00A5066E">
            <w:pPr>
              <w:tabs>
                <w:tab w:val="left" w:pos="1257"/>
              </w:tabs>
              <w:rPr>
                <w:rFonts w:ascii="Arial" w:hAnsi="Arial" w:cs="Arial"/>
                <w:sz w:val="24"/>
                <w:szCs w:val="24"/>
              </w:rPr>
            </w:pPr>
            <w:r w:rsidRPr="0059037F">
              <w:rPr>
                <w:rFonts w:ascii="Arial" w:hAnsi="Arial" w:cs="Arial"/>
                <w:sz w:val="24"/>
                <w:szCs w:val="24"/>
              </w:rPr>
              <w:t xml:space="preserve">Part a) reduction in the number of antibiotics prescribed </w:t>
            </w:r>
            <w:r w:rsidR="00397214" w:rsidRPr="0059037F">
              <w:rPr>
                <w:rFonts w:ascii="Arial" w:hAnsi="Arial" w:cs="Arial"/>
                <w:sz w:val="24"/>
                <w:szCs w:val="24"/>
              </w:rPr>
              <w:t>by BCH staff will be worth 25</w:t>
            </w:r>
            <w:r w:rsidRPr="0059037F">
              <w:rPr>
                <w:rFonts w:ascii="Arial" w:hAnsi="Arial" w:cs="Arial"/>
                <w:sz w:val="24"/>
                <w:szCs w:val="24"/>
              </w:rPr>
              <w:t xml:space="preserve">% of the total payment </w:t>
            </w:r>
          </w:p>
          <w:p w:rsidR="00A5066E" w:rsidRPr="0059037F" w:rsidRDefault="00A5066E" w:rsidP="00A5066E">
            <w:pPr>
              <w:tabs>
                <w:tab w:val="left" w:pos="1257"/>
              </w:tabs>
              <w:rPr>
                <w:rFonts w:ascii="Arial" w:hAnsi="Arial" w:cs="Arial"/>
                <w:sz w:val="24"/>
                <w:szCs w:val="24"/>
              </w:rPr>
            </w:pPr>
          </w:p>
          <w:p w:rsidR="00A5066E" w:rsidRPr="0059037F" w:rsidRDefault="00A5066E" w:rsidP="00A5066E">
            <w:pPr>
              <w:tabs>
                <w:tab w:val="left" w:pos="1257"/>
              </w:tabs>
              <w:rPr>
                <w:rFonts w:ascii="Arial" w:hAnsi="Arial" w:cs="Arial"/>
                <w:sz w:val="24"/>
                <w:szCs w:val="24"/>
              </w:rPr>
            </w:pPr>
            <w:r w:rsidRPr="0059037F">
              <w:rPr>
                <w:rFonts w:ascii="Arial" w:hAnsi="Arial" w:cs="Arial"/>
                <w:sz w:val="24"/>
                <w:szCs w:val="24"/>
              </w:rPr>
              <w:t>Part b) reduction in the number of co-</w:t>
            </w:r>
            <w:proofErr w:type="spellStart"/>
            <w:r w:rsidRPr="0059037F">
              <w:rPr>
                <w:rFonts w:ascii="Arial" w:hAnsi="Arial" w:cs="Arial"/>
                <w:sz w:val="24"/>
                <w:szCs w:val="24"/>
              </w:rPr>
              <w:t>amoxiclav</w:t>
            </w:r>
            <w:proofErr w:type="spellEnd"/>
            <w:r w:rsidRPr="0059037F">
              <w:rPr>
                <w:rFonts w:ascii="Arial" w:hAnsi="Arial" w:cs="Arial"/>
                <w:sz w:val="24"/>
                <w:szCs w:val="24"/>
              </w:rPr>
              <w:t xml:space="preserve">, </w:t>
            </w:r>
            <w:proofErr w:type="spellStart"/>
            <w:r w:rsidRPr="0059037F">
              <w:rPr>
                <w:rFonts w:ascii="Arial" w:hAnsi="Arial" w:cs="Arial"/>
                <w:sz w:val="24"/>
                <w:szCs w:val="24"/>
              </w:rPr>
              <w:t>cephalosporins</w:t>
            </w:r>
            <w:proofErr w:type="spellEnd"/>
            <w:r w:rsidRPr="0059037F">
              <w:rPr>
                <w:rFonts w:ascii="Arial" w:hAnsi="Arial" w:cs="Arial"/>
                <w:sz w:val="24"/>
                <w:szCs w:val="24"/>
              </w:rPr>
              <w:t xml:space="preserve"> and quinolones as a proportion of the total number of selected antibiotics prescribed </w:t>
            </w:r>
            <w:r w:rsidR="00397214" w:rsidRPr="0059037F">
              <w:rPr>
                <w:rFonts w:ascii="Arial" w:hAnsi="Arial" w:cs="Arial"/>
                <w:sz w:val="24"/>
                <w:szCs w:val="24"/>
              </w:rPr>
              <w:t>by BCH staff will be worth 75</w:t>
            </w:r>
            <w:r w:rsidRPr="0059037F">
              <w:rPr>
                <w:rFonts w:ascii="Arial" w:hAnsi="Arial" w:cs="Arial"/>
                <w:sz w:val="24"/>
                <w:szCs w:val="24"/>
              </w:rPr>
              <w:t xml:space="preserve">% of the total payment </w:t>
            </w:r>
          </w:p>
          <w:p w:rsidR="00A5066E" w:rsidRPr="0059037F" w:rsidRDefault="00A5066E" w:rsidP="00A5066E">
            <w:pPr>
              <w:tabs>
                <w:tab w:val="left" w:pos="1257"/>
              </w:tabs>
              <w:rPr>
                <w:rFonts w:ascii="Arial" w:hAnsi="Arial" w:cs="Arial"/>
                <w:sz w:val="24"/>
                <w:szCs w:val="24"/>
              </w:rPr>
            </w:pPr>
            <w:bookmarkStart w:id="0" w:name="_GoBack"/>
            <w:bookmarkEnd w:id="0"/>
          </w:p>
          <w:p w:rsidR="00A5066E" w:rsidRPr="0059037F" w:rsidRDefault="00A5066E" w:rsidP="00A5066E">
            <w:pPr>
              <w:tabs>
                <w:tab w:val="left" w:pos="1257"/>
              </w:tabs>
              <w:rPr>
                <w:rFonts w:ascii="Arial" w:hAnsi="Arial" w:cs="Arial"/>
                <w:sz w:val="24"/>
                <w:szCs w:val="24"/>
              </w:rPr>
            </w:pPr>
          </w:p>
        </w:tc>
      </w:tr>
      <w:tr w:rsidR="00A5066E" w:rsidRPr="0059037F" w:rsidTr="00A5066E">
        <w:tc>
          <w:tcPr>
            <w:tcW w:w="2660" w:type="dxa"/>
          </w:tcPr>
          <w:p w:rsidR="00A5066E" w:rsidRPr="0059037F" w:rsidRDefault="00A5066E">
            <w:pPr>
              <w:rPr>
                <w:rFonts w:ascii="Arial" w:hAnsi="Arial" w:cs="Arial"/>
                <w:sz w:val="24"/>
                <w:szCs w:val="24"/>
              </w:rPr>
            </w:pPr>
            <w:r w:rsidRPr="0059037F">
              <w:rPr>
                <w:rFonts w:ascii="Arial" w:hAnsi="Arial" w:cs="Arial"/>
                <w:sz w:val="24"/>
                <w:szCs w:val="24"/>
              </w:rPr>
              <w:t>Rationale</w:t>
            </w:r>
          </w:p>
        </w:tc>
        <w:tc>
          <w:tcPr>
            <w:tcW w:w="6582" w:type="dxa"/>
          </w:tcPr>
          <w:p w:rsidR="00A5066E" w:rsidRPr="0059037F" w:rsidRDefault="00A5066E">
            <w:pPr>
              <w:rPr>
                <w:rFonts w:ascii="Arial" w:hAnsi="Arial" w:cs="Arial"/>
                <w:sz w:val="24"/>
                <w:szCs w:val="24"/>
              </w:rPr>
            </w:pPr>
            <w:r w:rsidRPr="0059037F">
              <w:rPr>
                <w:rFonts w:ascii="Arial" w:hAnsi="Arial" w:cs="Arial"/>
                <w:sz w:val="24"/>
                <w:szCs w:val="24"/>
              </w:rPr>
              <w:t xml:space="preserve">Evidence suggests that antibiotic resistance is driven by over-using antibiotics and prescribing them inappropriately. Keeping levels of antibacterial prescribing low, by only prescribing antibiotics when appropriate, will help reduce the spread of the antibacterial resistance that can be a serious threat to patients who have infections that do not respond to antimicrobial drugs.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lastRenderedPageBreak/>
              <w:t>Broad spectrum antibiotics, such as co-</w:t>
            </w:r>
            <w:proofErr w:type="spellStart"/>
            <w:r w:rsidRPr="0059037F">
              <w:rPr>
                <w:rFonts w:ascii="Arial" w:hAnsi="Arial" w:cs="Arial"/>
                <w:sz w:val="24"/>
                <w:szCs w:val="24"/>
              </w:rPr>
              <w:t>amoxiclav</w:t>
            </w:r>
            <w:proofErr w:type="spellEnd"/>
            <w:r w:rsidRPr="0059037F">
              <w:rPr>
                <w:rFonts w:ascii="Arial" w:hAnsi="Arial" w:cs="Arial"/>
                <w:sz w:val="24"/>
                <w:szCs w:val="24"/>
              </w:rPr>
              <w:t xml:space="preserve">, </w:t>
            </w:r>
            <w:proofErr w:type="spellStart"/>
            <w:r w:rsidRPr="0059037F">
              <w:rPr>
                <w:rFonts w:ascii="Arial" w:hAnsi="Arial" w:cs="Arial"/>
                <w:sz w:val="24"/>
                <w:szCs w:val="24"/>
              </w:rPr>
              <w:t>cephalosporins</w:t>
            </w:r>
            <w:proofErr w:type="spellEnd"/>
            <w:r w:rsidRPr="0059037F">
              <w:rPr>
                <w:rFonts w:ascii="Arial" w:hAnsi="Arial" w:cs="Arial"/>
                <w:sz w:val="24"/>
                <w:szCs w:val="24"/>
              </w:rPr>
              <w:t xml:space="preserve"> and quinolones, need to be reserved to treat resistant disease and should generally be used only when standard antibiotics are ineffective. </w:t>
            </w:r>
          </w:p>
          <w:p w:rsidR="00A5066E" w:rsidRPr="0059037F" w:rsidRDefault="00A5066E">
            <w:pPr>
              <w:rPr>
                <w:rFonts w:ascii="Arial" w:hAnsi="Arial" w:cs="Arial"/>
                <w:sz w:val="24"/>
                <w:szCs w:val="24"/>
              </w:rPr>
            </w:pPr>
          </w:p>
        </w:tc>
      </w:tr>
      <w:tr w:rsidR="00A5066E" w:rsidRPr="0059037F" w:rsidTr="00A5066E">
        <w:tc>
          <w:tcPr>
            <w:tcW w:w="2660" w:type="dxa"/>
          </w:tcPr>
          <w:p w:rsidR="00A5066E" w:rsidRPr="0059037F" w:rsidRDefault="00A5066E">
            <w:pPr>
              <w:rPr>
                <w:rFonts w:ascii="Arial" w:hAnsi="Arial" w:cs="Arial"/>
                <w:sz w:val="24"/>
                <w:szCs w:val="24"/>
              </w:rPr>
            </w:pPr>
            <w:r w:rsidRPr="0059037F">
              <w:rPr>
                <w:rFonts w:ascii="Arial" w:hAnsi="Arial" w:cs="Arial"/>
                <w:sz w:val="24"/>
                <w:szCs w:val="24"/>
              </w:rPr>
              <w:lastRenderedPageBreak/>
              <w:t>Technical definition</w:t>
            </w:r>
          </w:p>
        </w:tc>
        <w:tc>
          <w:tcPr>
            <w:tcW w:w="6582" w:type="dxa"/>
          </w:tcPr>
          <w:p w:rsidR="00A5066E" w:rsidRPr="0059037F" w:rsidRDefault="00A5066E">
            <w:pPr>
              <w:rPr>
                <w:rFonts w:ascii="Arial" w:hAnsi="Arial" w:cs="Arial"/>
                <w:sz w:val="24"/>
                <w:szCs w:val="24"/>
              </w:rPr>
            </w:pPr>
            <w:r w:rsidRPr="0059037F">
              <w:rPr>
                <w:rFonts w:ascii="Arial" w:hAnsi="Arial" w:cs="Arial"/>
                <w:sz w:val="24"/>
                <w:szCs w:val="24"/>
              </w:rPr>
              <w:t xml:space="preserve">Part a) reduction in the number of antibiotics prescribed </w:t>
            </w:r>
            <w:r w:rsidR="00397214" w:rsidRPr="0059037F">
              <w:rPr>
                <w:rFonts w:ascii="Arial" w:hAnsi="Arial" w:cs="Arial"/>
                <w:sz w:val="24"/>
                <w:szCs w:val="24"/>
              </w:rPr>
              <w:t>by BCH staff</w:t>
            </w:r>
            <w:r w:rsidRPr="0059037F">
              <w:rPr>
                <w:rFonts w:ascii="Arial" w:hAnsi="Arial" w:cs="Arial"/>
                <w:sz w:val="24"/>
                <w:szCs w:val="24"/>
              </w:rPr>
              <w:t xml:space="preserve"> by 1% or greater.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Numerator: Number of prescription items for antibacterial drugs (BNF 5.1) attributed to BCH staff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Denominator: Total </w:t>
            </w:r>
            <w:r w:rsidR="00397214" w:rsidRPr="0059037F">
              <w:rPr>
                <w:rFonts w:ascii="Arial" w:hAnsi="Arial" w:cs="Arial"/>
                <w:sz w:val="24"/>
                <w:szCs w:val="24"/>
              </w:rPr>
              <w:t>number of prescription items</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Prescribing Data </w:t>
            </w:r>
          </w:p>
          <w:p w:rsidR="00A5066E" w:rsidRPr="0059037F" w:rsidRDefault="00A5066E">
            <w:pPr>
              <w:rPr>
                <w:rFonts w:ascii="Arial" w:hAnsi="Arial" w:cs="Arial"/>
                <w:sz w:val="24"/>
                <w:szCs w:val="24"/>
              </w:rPr>
            </w:pPr>
            <w:r w:rsidRPr="0059037F">
              <w:rPr>
                <w:rFonts w:ascii="Arial" w:hAnsi="Arial" w:cs="Arial"/>
                <w:sz w:val="24"/>
                <w:szCs w:val="24"/>
              </w:rPr>
              <w:t xml:space="preserve">This information can be obtained from the Information Services Portal (ISP) provided by NHS Business Services Authority which covers prescriptions prescribed by GPs, nurses, pharmacists and others in England and dispensed in the community in the UK. </w:t>
            </w:r>
            <w:hyperlink r:id="rId7" w:history="1">
              <w:r w:rsidRPr="0059037F">
                <w:rPr>
                  <w:rStyle w:val="Hyperlink"/>
                  <w:rFonts w:ascii="Arial" w:hAnsi="Arial" w:cs="Arial"/>
                  <w:sz w:val="24"/>
                  <w:szCs w:val="24"/>
                </w:rPr>
                <w:t>http://www.nhsbsa.nhs.uk/PrescriptionServices/3607.aspx</w:t>
              </w:r>
            </w:hyperlink>
            <w:r w:rsidRPr="0059037F">
              <w:rPr>
                <w:rFonts w:ascii="Arial" w:hAnsi="Arial" w:cs="Arial"/>
                <w:sz w:val="24"/>
                <w:szCs w:val="24"/>
              </w:rPr>
              <w:t xml:space="preserve"> </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Part b) number of co-</w:t>
            </w:r>
            <w:proofErr w:type="spellStart"/>
            <w:r w:rsidRPr="0059037F">
              <w:rPr>
                <w:rFonts w:ascii="Arial" w:hAnsi="Arial" w:cs="Arial"/>
                <w:sz w:val="24"/>
                <w:szCs w:val="24"/>
              </w:rPr>
              <w:t>amoxiclav</w:t>
            </w:r>
            <w:proofErr w:type="spellEnd"/>
            <w:r w:rsidRPr="0059037F">
              <w:rPr>
                <w:rFonts w:ascii="Arial" w:hAnsi="Arial" w:cs="Arial"/>
                <w:sz w:val="24"/>
                <w:szCs w:val="24"/>
              </w:rPr>
              <w:t xml:space="preserve">, </w:t>
            </w:r>
            <w:proofErr w:type="spellStart"/>
            <w:r w:rsidRPr="0059037F">
              <w:rPr>
                <w:rFonts w:ascii="Arial" w:hAnsi="Arial" w:cs="Arial"/>
                <w:sz w:val="24"/>
                <w:szCs w:val="24"/>
              </w:rPr>
              <w:t>cephalosporins</w:t>
            </w:r>
            <w:proofErr w:type="spellEnd"/>
            <w:r w:rsidRPr="0059037F">
              <w:rPr>
                <w:rFonts w:ascii="Arial" w:hAnsi="Arial" w:cs="Arial"/>
                <w:sz w:val="24"/>
                <w:szCs w:val="24"/>
              </w:rPr>
              <w:t xml:space="preserve"> and quinolones as a percentage of the total number of selected antibiotics prescribed </w:t>
            </w:r>
            <w:r w:rsidR="00397214" w:rsidRPr="0059037F">
              <w:rPr>
                <w:rFonts w:ascii="Arial" w:hAnsi="Arial" w:cs="Arial"/>
                <w:sz w:val="24"/>
                <w:szCs w:val="24"/>
              </w:rPr>
              <w:t>by BCH staff to be reduced by 10% from the</w:t>
            </w:r>
            <w:r w:rsidRPr="0059037F">
              <w:rPr>
                <w:rFonts w:ascii="Arial" w:hAnsi="Arial" w:cs="Arial"/>
                <w:sz w:val="24"/>
                <w:szCs w:val="24"/>
              </w:rPr>
              <w:t xml:space="preserve"> 2013/14 value, or to below the 2013/14 median proportion for English CCGs (11.3%), whichever re</w:t>
            </w:r>
            <w:r w:rsidR="00397214" w:rsidRPr="0059037F">
              <w:rPr>
                <w:rFonts w:ascii="Arial" w:hAnsi="Arial" w:cs="Arial"/>
                <w:sz w:val="24"/>
                <w:szCs w:val="24"/>
              </w:rPr>
              <w:t>presents the smallest reduction</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Numerator: Number of prescription items for BNF 5.1.1.3 (sub-section co-</w:t>
            </w:r>
            <w:proofErr w:type="spellStart"/>
            <w:r w:rsidRPr="0059037F">
              <w:rPr>
                <w:rFonts w:ascii="Arial" w:hAnsi="Arial" w:cs="Arial"/>
                <w:sz w:val="24"/>
                <w:szCs w:val="24"/>
              </w:rPr>
              <w:t>amoxiclav</w:t>
            </w:r>
            <w:proofErr w:type="spellEnd"/>
            <w:r w:rsidRPr="0059037F">
              <w:rPr>
                <w:rFonts w:ascii="Arial" w:hAnsi="Arial" w:cs="Arial"/>
                <w:sz w:val="24"/>
                <w:szCs w:val="24"/>
              </w:rPr>
              <w:t>), BNF 5.1.2.1 (</w:t>
            </w:r>
            <w:proofErr w:type="spellStart"/>
            <w:r w:rsidRPr="0059037F">
              <w:rPr>
                <w:rFonts w:ascii="Arial" w:hAnsi="Arial" w:cs="Arial"/>
                <w:sz w:val="24"/>
                <w:szCs w:val="24"/>
              </w:rPr>
              <w:t>cephalosporins</w:t>
            </w:r>
            <w:proofErr w:type="spellEnd"/>
            <w:r w:rsidRPr="0059037F">
              <w:rPr>
                <w:rFonts w:ascii="Arial" w:hAnsi="Arial" w:cs="Arial"/>
                <w:sz w:val="24"/>
                <w:szCs w:val="24"/>
              </w:rPr>
              <w:t xml:space="preserve">) and BNF 5.1.12 (quinolones) </w:t>
            </w:r>
            <w:r w:rsidR="00397214" w:rsidRPr="0059037F">
              <w:rPr>
                <w:rFonts w:ascii="Arial" w:hAnsi="Arial" w:cs="Arial"/>
                <w:sz w:val="24"/>
                <w:szCs w:val="24"/>
              </w:rPr>
              <w:t>attributed to BCH staff</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Denominator: Number of antibiotic prescription items for BNF 5.1.1; 5.1.2.1; 5.1.3; 5.1.5; 5.1.8; 5.1.11; 5.1.12; 5.1.13 </w:t>
            </w:r>
            <w:r w:rsidR="00397214" w:rsidRPr="0059037F">
              <w:rPr>
                <w:rFonts w:ascii="Arial" w:hAnsi="Arial" w:cs="Arial"/>
                <w:sz w:val="24"/>
                <w:szCs w:val="24"/>
              </w:rPr>
              <w:t>attributed to BCH staff</w:t>
            </w:r>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 xml:space="preserve">Prescribing Data Prescribing information can be obtained from the electronic Prescribing Analysis and </w:t>
            </w:r>
            <w:proofErr w:type="spellStart"/>
            <w:r w:rsidRPr="0059037F">
              <w:rPr>
                <w:rFonts w:ascii="Arial" w:hAnsi="Arial" w:cs="Arial"/>
                <w:sz w:val="24"/>
                <w:szCs w:val="24"/>
              </w:rPr>
              <w:t>CosT</w:t>
            </w:r>
            <w:proofErr w:type="spellEnd"/>
            <w:r w:rsidRPr="0059037F">
              <w:rPr>
                <w:rFonts w:ascii="Arial" w:hAnsi="Arial" w:cs="Arial"/>
                <w:sz w:val="24"/>
                <w:szCs w:val="24"/>
              </w:rPr>
              <w:t xml:space="preserve"> tool (</w:t>
            </w:r>
            <w:proofErr w:type="spellStart"/>
            <w:r w:rsidRPr="0059037F">
              <w:rPr>
                <w:rFonts w:ascii="Arial" w:hAnsi="Arial" w:cs="Arial"/>
                <w:sz w:val="24"/>
                <w:szCs w:val="24"/>
              </w:rPr>
              <w:t>ePACT</w:t>
            </w:r>
            <w:proofErr w:type="spellEnd"/>
            <w:r w:rsidRPr="0059037F">
              <w:rPr>
                <w:rFonts w:ascii="Arial" w:hAnsi="Arial" w:cs="Arial"/>
                <w:sz w:val="24"/>
                <w:szCs w:val="24"/>
              </w:rPr>
              <w:t xml:space="preserve">) system provided by NHS Business Services Authority which covers prescriptions prescribed by GPs, nurses, pharmacists and others in England and dispensed in the community in the UK. </w:t>
            </w:r>
            <w:hyperlink r:id="rId8" w:history="1">
              <w:r w:rsidRPr="0059037F">
                <w:rPr>
                  <w:rStyle w:val="Hyperlink"/>
                  <w:rFonts w:ascii="Arial" w:hAnsi="Arial" w:cs="Arial"/>
                  <w:sz w:val="24"/>
                  <w:szCs w:val="24"/>
                </w:rPr>
                <w:t>http://www.nhsbsa.nhs.uk/3230.aspx</w:t>
              </w:r>
            </w:hyperlink>
          </w:p>
          <w:p w:rsidR="00A5066E" w:rsidRPr="0059037F" w:rsidRDefault="00A5066E">
            <w:pPr>
              <w:rPr>
                <w:rFonts w:ascii="Arial" w:hAnsi="Arial" w:cs="Arial"/>
                <w:sz w:val="24"/>
                <w:szCs w:val="24"/>
              </w:rPr>
            </w:pPr>
          </w:p>
          <w:p w:rsidR="00A5066E" w:rsidRPr="0059037F" w:rsidRDefault="00A5066E">
            <w:pPr>
              <w:rPr>
                <w:rFonts w:ascii="Arial" w:hAnsi="Arial" w:cs="Arial"/>
                <w:sz w:val="24"/>
                <w:szCs w:val="24"/>
              </w:rPr>
            </w:pPr>
            <w:r w:rsidRPr="0059037F">
              <w:rPr>
                <w:rFonts w:ascii="Arial" w:hAnsi="Arial" w:cs="Arial"/>
                <w:sz w:val="24"/>
                <w:szCs w:val="24"/>
              </w:rPr>
              <w:t>Details will be published early in 2015 of annual (April2013 – March2014) prescribing data values, and the target data value on which the threshold is measured.</w:t>
            </w:r>
          </w:p>
          <w:p w:rsidR="00A5066E" w:rsidRPr="0059037F" w:rsidRDefault="00A5066E">
            <w:pPr>
              <w:rPr>
                <w:rFonts w:ascii="Arial" w:hAnsi="Arial" w:cs="Arial"/>
                <w:sz w:val="24"/>
                <w:szCs w:val="24"/>
              </w:rPr>
            </w:pPr>
          </w:p>
        </w:tc>
      </w:tr>
    </w:tbl>
    <w:p w:rsidR="00BD638D" w:rsidRDefault="00BD638D">
      <w:pPr>
        <w:rPr>
          <w:rFonts w:ascii="Arial" w:hAnsi="Arial" w:cs="Arial"/>
          <w:sz w:val="24"/>
          <w:szCs w:val="24"/>
        </w:rPr>
      </w:pPr>
    </w:p>
    <w:p w:rsidR="00CF4037" w:rsidRDefault="00CF4037">
      <w:pPr>
        <w:rPr>
          <w:rFonts w:ascii="Arial" w:hAnsi="Arial" w:cs="Arial"/>
          <w:sz w:val="24"/>
          <w:szCs w:val="24"/>
        </w:rPr>
        <w:sectPr w:rsidR="00CF4037">
          <w:footerReference w:type="default" r:id="rId9"/>
          <w:pgSz w:w="11906" w:h="16838"/>
          <w:pgMar w:top="1440" w:right="1440" w:bottom="1440" w:left="1440" w:header="708" w:footer="708" w:gutter="0"/>
          <w:cols w:space="708"/>
          <w:docGrid w:linePitch="360"/>
        </w:sectPr>
      </w:pPr>
    </w:p>
    <w:p w:rsidR="00CF4037" w:rsidRDefault="00CF4037">
      <w:pPr>
        <w:rPr>
          <w:rFonts w:ascii="Arial" w:hAnsi="Arial" w:cs="Arial"/>
          <w:sz w:val="24"/>
          <w:szCs w:val="24"/>
        </w:rPr>
      </w:pPr>
      <w:r>
        <w:rPr>
          <w:rFonts w:ascii="Arial" w:hAnsi="Arial" w:cs="Arial"/>
          <w:sz w:val="24"/>
          <w:szCs w:val="24"/>
        </w:rPr>
        <w:lastRenderedPageBreak/>
        <w:t>Appendix 1</w:t>
      </w:r>
    </w:p>
    <w:p w:rsidR="00CF4037" w:rsidRDefault="00CF4037">
      <w:pPr>
        <w:rPr>
          <w:rFonts w:ascii="Arial" w:hAnsi="Arial" w:cs="Arial"/>
          <w:sz w:val="24"/>
          <w:szCs w:val="24"/>
        </w:rPr>
      </w:pPr>
    </w:p>
    <w:p w:rsidR="00550158" w:rsidRDefault="00550158">
      <w:pPr>
        <w:rPr>
          <w:rFonts w:ascii="Arial" w:hAnsi="Arial" w:cs="Arial"/>
          <w:sz w:val="24"/>
          <w:szCs w:val="24"/>
        </w:rPr>
      </w:pPr>
      <w:r>
        <w:rPr>
          <w:noProof/>
          <w:lang w:val="en-US"/>
        </w:rPr>
        <w:drawing>
          <wp:inline distT="0" distB="0" distL="0" distR="0" wp14:anchorId="67D11AE3" wp14:editId="0905C3E3">
            <wp:extent cx="8229600" cy="4244454"/>
            <wp:effectExtent l="0" t="0" r="1905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0158" w:rsidRDefault="00550158">
      <w:pPr>
        <w:rPr>
          <w:rFonts w:ascii="Arial" w:hAnsi="Arial" w:cs="Arial"/>
          <w:sz w:val="24"/>
          <w:szCs w:val="24"/>
        </w:rPr>
      </w:pPr>
      <w:r>
        <w:rPr>
          <w:rFonts w:ascii="Arial" w:hAnsi="Arial" w:cs="Arial"/>
          <w:sz w:val="24"/>
          <w:szCs w:val="24"/>
        </w:rPr>
        <w:br w:type="page"/>
      </w:r>
    </w:p>
    <w:p w:rsidR="00CF4037" w:rsidRDefault="00CF4037">
      <w:pPr>
        <w:rPr>
          <w:rFonts w:ascii="Arial" w:hAnsi="Arial" w:cs="Arial"/>
          <w:sz w:val="24"/>
          <w:szCs w:val="24"/>
        </w:rPr>
      </w:pPr>
      <w:r>
        <w:rPr>
          <w:rFonts w:ascii="Arial" w:hAnsi="Arial" w:cs="Arial"/>
          <w:sz w:val="24"/>
          <w:szCs w:val="24"/>
        </w:rPr>
        <w:lastRenderedPageBreak/>
        <w:t>Appendix 2</w:t>
      </w:r>
    </w:p>
    <w:p w:rsidR="00CF4037" w:rsidRDefault="00CF4037">
      <w:pPr>
        <w:rPr>
          <w:rFonts w:ascii="Arial" w:hAnsi="Arial" w:cs="Arial"/>
          <w:sz w:val="24"/>
          <w:szCs w:val="24"/>
        </w:rPr>
      </w:pPr>
    </w:p>
    <w:p w:rsidR="00A5066E" w:rsidRPr="0059037F" w:rsidRDefault="00550158">
      <w:pPr>
        <w:rPr>
          <w:rFonts w:ascii="Arial" w:hAnsi="Arial" w:cs="Arial"/>
          <w:sz w:val="24"/>
          <w:szCs w:val="24"/>
        </w:rPr>
      </w:pPr>
      <w:r>
        <w:rPr>
          <w:noProof/>
          <w:lang w:val="en-US"/>
        </w:rPr>
        <w:drawing>
          <wp:inline distT="0" distB="0" distL="0" distR="0" wp14:anchorId="04DF5255" wp14:editId="67443991">
            <wp:extent cx="8215952" cy="4776716"/>
            <wp:effectExtent l="0" t="0" r="1397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A5066E" w:rsidRPr="0059037F" w:rsidSect="00BD638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4D" w:rsidRDefault="004C614D" w:rsidP="00CF4037">
      <w:pPr>
        <w:spacing w:after="0" w:line="240" w:lineRule="auto"/>
      </w:pPr>
      <w:r>
        <w:separator/>
      </w:r>
    </w:p>
  </w:endnote>
  <w:endnote w:type="continuationSeparator" w:id="0">
    <w:p w:rsidR="004C614D" w:rsidRDefault="004C614D" w:rsidP="00CF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37" w:rsidRDefault="00CF4037">
    <w:pPr>
      <w:pStyle w:val="Footer"/>
    </w:pPr>
    <w:r>
      <w:t>NHS Bristol CCG 2015</w:t>
    </w:r>
    <w:r>
      <w:tab/>
    </w:r>
    <w:hyperlink r:id="rId1" w:history="1">
      <w:r w:rsidRPr="00916BF4">
        <w:rPr>
          <w:rStyle w:val="Hyperlink"/>
        </w:rPr>
        <w:t>jon.hayhurst@bristolccg.nhs.uk</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4D" w:rsidRDefault="004C614D" w:rsidP="00CF4037">
      <w:pPr>
        <w:spacing w:after="0" w:line="240" w:lineRule="auto"/>
      </w:pPr>
      <w:r>
        <w:separator/>
      </w:r>
    </w:p>
  </w:footnote>
  <w:footnote w:type="continuationSeparator" w:id="0">
    <w:p w:rsidR="004C614D" w:rsidRDefault="004C614D" w:rsidP="00CF4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6E"/>
    <w:rsid w:val="00397214"/>
    <w:rsid w:val="004C614D"/>
    <w:rsid w:val="00550158"/>
    <w:rsid w:val="0059037F"/>
    <w:rsid w:val="00632E61"/>
    <w:rsid w:val="00A5066E"/>
    <w:rsid w:val="00BD638D"/>
    <w:rsid w:val="00CF4037"/>
    <w:rsid w:val="00DC5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6E"/>
    <w:rPr>
      <w:color w:val="0000FF" w:themeColor="hyperlink"/>
      <w:u w:val="single"/>
    </w:rPr>
  </w:style>
  <w:style w:type="paragraph" w:styleId="BalloonText">
    <w:name w:val="Balloon Text"/>
    <w:basedOn w:val="Normal"/>
    <w:link w:val="BalloonTextChar"/>
    <w:uiPriority w:val="99"/>
    <w:semiHidden/>
    <w:unhideWhenUsed/>
    <w:rsid w:val="00550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158"/>
    <w:rPr>
      <w:rFonts w:ascii="Tahoma" w:hAnsi="Tahoma" w:cs="Tahoma"/>
      <w:sz w:val="16"/>
      <w:szCs w:val="16"/>
    </w:rPr>
  </w:style>
  <w:style w:type="paragraph" w:styleId="Header">
    <w:name w:val="header"/>
    <w:basedOn w:val="Normal"/>
    <w:link w:val="HeaderChar"/>
    <w:uiPriority w:val="99"/>
    <w:unhideWhenUsed/>
    <w:rsid w:val="00CF4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37"/>
  </w:style>
  <w:style w:type="paragraph" w:styleId="Footer">
    <w:name w:val="footer"/>
    <w:basedOn w:val="Normal"/>
    <w:link w:val="FooterChar"/>
    <w:uiPriority w:val="99"/>
    <w:unhideWhenUsed/>
    <w:rsid w:val="00CF4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6E"/>
    <w:rPr>
      <w:color w:val="0000FF" w:themeColor="hyperlink"/>
      <w:u w:val="single"/>
    </w:rPr>
  </w:style>
  <w:style w:type="paragraph" w:styleId="BalloonText">
    <w:name w:val="Balloon Text"/>
    <w:basedOn w:val="Normal"/>
    <w:link w:val="BalloonTextChar"/>
    <w:uiPriority w:val="99"/>
    <w:semiHidden/>
    <w:unhideWhenUsed/>
    <w:rsid w:val="00550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158"/>
    <w:rPr>
      <w:rFonts w:ascii="Tahoma" w:hAnsi="Tahoma" w:cs="Tahoma"/>
      <w:sz w:val="16"/>
      <w:szCs w:val="16"/>
    </w:rPr>
  </w:style>
  <w:style w:type="paragraph" w:styleId="Header">
    <w:name w:val="header"/>
    <w:basedOn w:val="Normal"/>
    <w:link w:val="HeaderChar"/>
    <w:uiPriority w:val="99"/>
    <w:unhideWhenUsed/>
    <w:rsid w:val="00CF4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37"/>
  </w:style>
  <w:style w:type="paragraph" w:styleId="Footer">
    <w:name w:val="footer"/>
    <w:basedOn w:val="Normal"/>
    <w:link w:val="FooterChar"/>
    <w:uiPriority w:val="99"/>
    <w:unhideWhenUsed/>
    <w:rsid w:val="00CF4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3230.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bsa.nhs.uk/PrescriptionServices/3607.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n.hayhurst@bristolccg.nhs.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n.hayhurst\Desktop\BC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n.hayhurst\Desktop\B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BCH antibiotic</a:t>
            </a:r>
            <a:r>
              <a:rPr lang="en-US" baseline="0"/>
              <a:t> prescriptions as a percentage of all prescriptions</a:t>
            </a:r>
            <a:endParaRPr lang="en-US"/>
          </a:p>
        </c:rich>
      </c:tx>
      <c:overlay val="0"/>
    </c:title>
    <c:autoTitleDeleted val="0"/>
    <c:plotArea>
      <c:layout/>
      <c:lineChart>
        <c:grouping val="standard"/>
        <c:varyColors val="0"/>
        <c:ser>
          <c:idx val="0"/>
          <c:order val="0"/>
          <c:tx>
            <c:strRef>
              <c:f>Sheet1!$G$5</c:f>
              <c:strCache>
                <c:ptCount val="1"/>
                <c:pt idx="0">
                  <c:v>%</c:v>
                </c:pt>
              </c:strCache>
            </c:strRef>
          </c:tx>
          <c:marker>
            <c:symbol val="none"/>
          </c:marker>
          <c:cat>
            <c:numRef>
              <c:f>Sheet1!$A$6:$A$28</c:f>
              <c:numCache>
                <c:formatCode>mmm\-yy</c:formatCode>
                <c:ptCount val="23"/>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pt idx="12">
                  <c:v>41730</c:v>
                </c:pt>
                <c:pt idx="13">
                  <c:v>41760</c:v>
                </c:pt>
                <c:pt idx="14">
                  <c:v>41791</c:v>
                </c:pt>
                <c:pt idx="15">
                  <c:v>41821</c:v>
                </c:pt>
                <c:pt idx="16">
                  <c:v>41852</c:v>
                </c:pt>
                <c:pt idx="17">
                  <c:v>41883</c:v>
                </c:pt>
                <c:pt idx="18">
                  <c:v>41913</c:v>
                </c:pt>
                <c:pt idx="19">
                  <c:v>41944</c:v>
                </c:pt>
                <c:pt idx="20">
                  <c:v>41974</c:v>
                </c:pt>
                <c:pt idx="21">
                  <c:v>42005</c:v>
                </c:pt>
                <c:pt idx="22">
                  <c:v>42036</c:v>
                </c:pt>
              </c:numCache>
            </c:numRef>
          </c:cat>
          <c:val>
            <c:numRef>
              <c:f>Sheet1!$G$6:$G$28</c:f>
              <c:numCache>
                <c:formatCode>0%</c:formatCode>
                <c:ptCount val="23"/>
                <c:pt idx="0">
                  <c:v>0.17241379310344829</c:v>
                </c:pt>
                <c:pt idx="1">
                  <c:v>0.24855491329479767</c:v>
                </c:pt>
                <c:pt idx="2">
                  <c:v>0.33493975903614459</c:v>
                </c:pt>
                <c:pt idx="3">
                  <c:v>0.33558406482106684</c:v>
                </c:pt>
                <c:pt idx="4">
                  <c:v>0.35860058309037901</c:v>
                </c:pt>
                <c:pt idx="5">
                  <c:v>0.35189003436426119</c:v>
                </c:pt>
                <c:pt idx="6">
                  <c:v>0.32569659442724458</c:v>
                </c:pt>
                <c:pt idx="7">
                  <c:v>0.28520114942528735</c:v>
                </c:pt>
                <c:pt idx="8">
                  <c:v>0.37272113436866983</c:v>
                </c:pt>
                <c:pt idx="9">
                  <c:v>0.29100529100529099</c:v>
                </c:pt>
                <c:pt idx="10">
                  <c:v>0.3017656500802568</c:v>
                </c:pt>
                <c:pt idx="11">
                  <c:v>0.30728775356874533</c:v>
                </c:pt>
                <c:pt idx="12">
                  <c:v>0.27942421676545298</c:v>
                </c:pt>
                <c:pt idx="13">
                  <c:v>0.32772494513533285</c:v>
                </c:pt>
                <c:pt idx="14">
                  <c:v>0.3130016051364366</c:v>
                </c:pt>
                <c:pt idx="15">
                  <c:v>0.303971119133574</c:v>
                </c:pt>
                <c:pt idx="16">
                  <c:v>0.30250783699059564</c:v>
                </c:pt>
                <c:pt idx="17">
                  <c:v>0.26738410596026491</c:v>
                </c:pt>
                <c:pt idx="18">
                  <c:v>0.25863596102745795</c:v>
                </c:pt>
                <c:pt idx="19">
                  <c:v>0.26640000000000003</c:v>
                </c:pt>
                <c:pt idx="20">
                  <c:v>0.32501948558067029</c:v>
                </c:pt>
                <c:pt idx="21">
                  <c:v>0.26640926640926643</c:v>
                </c:pt>
                <c:pt idx="22">
                  <c:v>0.28651685393258425</c:v>
                </c:pt>
              </c:numCache>
            </c:numRef>
          </c:val>
          <c:smooth val="0"/>
        </c:ser>
        <c:dLbls>
          <c:showLegendKey val="0"/>
          <c:showVal val="0"/>
          <c:showCatName val="0"/>
          <c:showSerName val="0"/>
          <c:showPercent val="0"/>
          <c:showBubbleSize val="0"/>
        </c:dLbls>
        <c:marker val="1"/>
        <c:smooth val="0"/>
        <c:axId val="67418752"/>
        <c:axId val="67424640"/>
      </c:lineChart>
      <c:dateAx>
        <c:axId val="67418752"/>
        <c:scaling>
          <c:orientation val="minMax"/>
        </c:scaling>
        <c:delete val="0"/>
        <c:axPos val="b"/>
        <c:numFmt formatCode="mmm\-yy" sourceLinked="1"/>
        <c:majorTickMark val="out"/>
        <c:minorTickMark val="none"/>
        <c:tickLblPos val="nextTo"/>
        <c:txPr>
          <a:bodyPr rot="2700000"/>
          <a:lstStyle/>
          <a:p>
            <a:pPr>
              <a:defRPr sz="800"/>
            </a:pPr>
            <a:endParaRPr lang="en-US"/>
          </a:p>
        </c:txPr>
        <c:crossAx val="67424640"/>
        <c:crosses val="autoZero"/>
        <c:auto val="1"/>
        <c:lblOffset val="100"/>
        <c:baseTimeUnit val="months"/>
        <c:minorUnit val="1"/>
        <c:minorTimeUnit val="months"/>
      </c:dateAx>
      <c:valAx>
        <c:axId val="67424640"/>
        <c:scaling>
          <c:orientation val="minMax"/>
        </c:scaling>
        <c:delete val="0"/>
        <c:axPos val="l"/>
        <c:majorGridlines/>
        <c:numFmt formatCode="0%" sourceLinked="1"/>
        <c:majorTickMark val="out"/>
        <c:minorTickMark val="none"/>
        <c:tickLblPos val="nextTo"/>
        <c:crossAx val="674187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BCH broad-spectrum antibiotic prescriptions as a percentage of all antibiotic prescriptions </a:t>
            </a:r>
          </a:p>
        </c:rich>
      </c:tx>
      <c:overlay val="0"/>
    </c:title>
    <c:autoTitleDeleted val="0"/>
    <c:plotArea>
      <c:layout/>
      <c:lineChart>
        <c:grouping val="standard"/>
        <c:varyColors val="0"/>
        <c:ser>
          <c:idx val="0"/>
          <c:order val="0"/>
          <c:tx>
            <c:strRef>
              <c:f>Sheet1!$D$5</c:f>
              <c:strCache>
                <c:ptCount val="1"/>
                <c:pt idx="0">
                  <c:v>%</c:v>
                </c:pt>
              </c:strCache>
            </c:strRef>
          </c:tx>
          <c:marker>
            <c:symbol val="none"/>
          </c:marker>
          <c:cat>
            <c:numRef>
              <c:f>Sheet1!$A$6:$A$28</c:f>
              <c:numCache>
                <c:formatCode>mmm\-yy</c:formatCode>
                <c:ptCount val="23"/>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pt idx="12">
                  <c:v>41730</c:v>
                </c:pt>
                <c:pt idx="13">
                  <c:v>41760</c:v>
                </c:pt>
                <c:pt idx="14">
                  <c:v>41791</c:v>
                </c:pt>
                <c:pt idx="15">
                  <c:v>41821</c:v>
                </c:pt>
                <c:pt idx="16">
                  <c:v>41852</c:v>
                </c:pt>
                <c:pt idx="17">
                  <c:v>41883</c:v>
                </c:pt>
                <c:pt idx="18">
                  <c:v>41913</c:v>
                </c:pt>
                <c:pt idx="19">
                  <c:v>41944</c:v>
                </c:pt>
                <c:pt idx="20">
                  <c:v>41974</c:v>
                </c:pt>
                <c:pt idx="21">
                  <c:v>42005</c:v>
                </c:pt>
                <c:pt idx="22">
                  <c:v>42036</c:v>
                </c:pt>
              </c:numCache>
            </c:numRef>
          </c:cat>
          <c:val>
            <c:numRef>
              <c:f>Sheet1!$D$6:$D$28</c:f>
              <c:numCache>
                <c:formatCode>0%</c:formatCode>
                <c:ptCount val="23"/>
                <c:pt idx="0">
                  <c:v>0.2</c:v>
                </c:pt>
                <c:pt idx="1">
                  <c:v>0.17275747508305647</c:v>
                </c:pt>
                <c:pt idx="2">
                  <c:v>0.24940047961630696</c:v>
                </c:pt>
                <c:pt idx="3">
                  <c:v>0.18712273641851107</c:v>
                </c:pt>
                <c:pt idx="4">
                  <c:v>0.20487804878048779</c:v>
                </c:pt>
                <c:pt idx="5">
                  <c:v>0.20703125</c:v>
                </c:pt>
                <c:pt idx="6">
                  <c:v>0.20342205323193915</c:v>
                </c:pt>
                <c:pt idx="7">
                  <c:v>0.19899244332493704</c:v>
                </c:pt>
                <c:pt idx="8">
                  <c:v>0.12681159420289856</c:v>
                </c:pt>
                <c:pt idx="9">
                  <c:v>0.16136363636363638</c:v>
                </c:pt>
                <c:pt idx="10">
                  <c:v>0.16755319148936171</c:v>
                </c:pt>
                <c:pt idx="11">
                  <c:v>0.13202933985330073</c:v>
                </c:pt>
                <c:pt idx="12">
                  <c:v>0.15454545454545454</c:v>
                </c:pt>
                <c:pt idx="13">
                  <c:v>0.17633928571428573</c:v>
                </c:pt>
                <c:pt idx="14">
                  <c:v>0.19230769230769232</c:v>
                </c:pt>
                <c:pt idx="15">
                  <c:v>0.17339667458432304</c:v>
                </c:pt>
                <c:pt idx="16">
                  <c:v>0.18911917098445596</c:v>
                </c:pt>
                <c:pt idx="17">
                  <c:v>0.17647058823529413</c:v>
                </c:pt>
                <c:pt idx="18">
                  <c:v>0.18493150684931506</c:v>
                </c:pt>
                <c:pt idx="19">
                  <c:v>0.18318318318318319</c:v>
                </c:pt>
                <c:pt idx="20">
                  <c:v>0.1079136690647482</c:v>
                </c:pt>
                <c:pt idx="21">
                  <c:v>0.1391304347826087</c:v>
                </c:pt>
                <c:pt idx="22">
                  <c:v>0.15686274509803921</c:v>
                </c:pt>
              </c:numCache>
            </c:numRef>
          </c:val>
          <c:smooth val="0"/>
        </c:ser>
        <c:dLbls>
          <c:showLegendKey val="0"/>
          <c:showVal val="0"/>
          <c:showCatName val="0"/>
          <c:showSerName val="0"/>
          <c:showPercent val="0"/>
          <c:showBubbleSize val="0"/>
        </c:dLbls>
        <c:marker val="1"/>
        <c:smooth val="0"/>
        <c:axId val="103030784"/>
        <c:axId val="103032320"/>
      </c:lineChart>
      <c:dateAx>
        <c:axId val="103030784"/>
        <c:scaling>
          <c:orientation val="minMax"/>
        </c:scaling>
        <c:delete val="0"/>
        <c:axPos val="b"/>
        <c:numFmt formatCode="mmm\-yy" sourceLinked="1"/>
        <c:majorTickMark val="out"/>
        <c:minorTickMark val="none"/>
        <c:tickLblPos val="nextTo"/>
        <c:txPr>
          <a:bodyPr rot="2700000"/>
          <a:lstStyle/>
          <a:p>
            <a:pPr>
              <a:defRPr sz="800"/>
            </a:pPr>
            <a:endParaRPr lang="en-US"/>
          </a:p>
        </c:txPr>
        <c:crossAx val="103032320"/>
        <c:crosses val="autoZero"/>
        <c:auto val="1"/>
        <c:lblOffset val="100"/>
        <c:baseTimeUnit val="months"/>
        <c:minorUnit val="1"/>
        <c:minorTimeUnit val="months"/>
      </c:dateAx>
      <c:valAx>
        <c:axId val="103032320"/>
        <c:scaling>
          <c:orientation val="minMax"/>
        </c:scaling>
        <c:delete val="0"/>
        <c:axPos val="l"/>
        <c:majorGridlines/>
        <c:numFmt formatCode="0%" sourceLinked="1"/>
        <c:majorTickMark val="out"/>
        <c:minorTickMark val="none"/>
        <c:tickLblPos val="nextTo"/>
        <c:crossAx val="1030307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Hayhurst</dc:creator>
  <cp:lastModifiedBy>Jon Hayhurst</cp:lastModifiedBy>
  <cp:revision>5</cp:revision>
  <dcterms:created xsi:type="dcterms:W3CDTF">2015-04-30T08:35:00Z</dcterms:created>
  <dcterms:modified xsi:type="dcterms:W3CDTF">2015-09-30T09:28:00Z</dcterms:modified>
</cp:coreProperties>
</file>