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90"/>
        <w:gridCol w:w="2387"/>
        <w:gridCol w:w="180"/>
        <w:gridCol w:w="4671"/>
      </w:tblGrid>
      <w:tr w:rsidR="00404E07" w:rsidTr="007C439D">
        <w:trPr>
          <w:trHeight w:hRule="exact" w:val="1068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E07" w:rsidRDefault="00404E07"/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E07" w:rsidRDefault="00C5387E">
            <w:pPr>
              <w:pStyle w:val="Header"/>
            </w:pPr>
            <w:proofErr w:type="spellStart"/>
            <w:r>
              <w:t>Behavioural</w:t>
            </w:r>
            <w:proofErr w:type="spellEnd"/>
            <w:r>
              <w:t xml:space="preserve"> Insights Team</w:t>
            </w:r>
          </w:p>
          <w:p w:rsidR="00404E07" w:rsidRDefault="00C5387E">
            <w:pPr>
              <w:pStyle w:val="Header"/>
            </w:pPr>
            <w:r>
              <w:t>Skipton House</w:t>
            </w:r>
          </w:p>
          <w:p w:rsidR="00404E07" w:rsidRDefault="00C5387E">
            <w:pPr>
              <w:pStyle w:val="Header"/>
            </w:pPr>
            <w:r>
              <w:t>80 London Road</w:t>
            </w:r>
          </w:p>
          <w:p w:rsidR="00404E07" w:rsidRDefault="00C5387E">
            <w:pPr>
              <w:pStyle w:val="Header"/>
            </w:pPr>
            <w:r>
              <w:t>London, SE1 6LH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E07" w:rsidRDefault="00404E07"/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4E07" w:rsidRDefault="00C5387E">
            <w:pPr>
              <w:pStyle w:val="Header"/>
            </w:pPr>
            <w:r>
              <w:t>T  +44 (0)20 7000 1234</w:t>
            </w:r>
          </w:p>
          <w:p w:rsidR="00404E07" w:rsidRDefault="00C5387E">
            <w:pPr>
              <w:pStyle w:val="Header"/>
            </w:pPr>
            <w:r>
              <w:t>F  +44 (0)20 7000 1234</w:t>
            </w:r>
          </w:p>
          <w:p w:rsidR="00404E07" w:rsidRDefault="00404E07">
            <w:pPr>
              <w:pStyle w:val="Header"/>
            </w:pPr>
          </w:p>
          <w:p w:rsidR="00404E07" w:rsidRDefault="007C439D">
            <w:pPr>
              <w:pStyle w:val="Header"/>
            </w:pPr>
            <w:hyperlink r:id="rId8" w:history="1">
              <w:r w:rsidR="00C5387E">
                <w:rPr>
                  <w:rStyle w:val="Hyperlink0"/>
                </w:rPr>
                <w:t>www.gov.uk/phe</w:t>
              </w:r>
            </w:hyperlink>
            <w:r w:rsidR="00C5387E">
              <w:t xml:space="preserve"> </w:t>
            </w:r>
          </w:p>
        </w:tc>
      </w:tr>
    </w:tbl>
    <w:p w:rsidR="00404E07" w:rsidRDefault="00404E07" w:rsidP="007C439D">
      <w:pPr>
        <w:pStyle w:val="Body"/>
        <w:widowControl w:val="0"/>
        <w:pBdr>
          <w:top w:val="nil"/>
        </w:pBdr>
        <w:spacing w:line="240" w:lineRule="auto"/>
      </w:pPr>
    </w:p>
    <w:p w:rsidR="00404E07" w:rsidRDefault="00C5387E" w:rsidP="007C439D">
      <w:pPr>
        <w:pStyle w:val="Body"/>
        <w:pBdr>
          <w:top w:val="nil"/>
        </w:pBdr>
      </w:pPr>
      <w:r>
        <w:rPr>
          <w:lang w:val="en-US"/>
        </w:rPr>
        <w:t xml:space="preserve">For: NHS Improvement/ NHS England </w:t>
      </w:r>
      <w:proofErr w:type="spellStart"/>
      <w:r>
        <w:rPr>
          <w:lang w:val="en-US"/>
        </w:rPr>
        <w:t>PrescQIPP</w:t>
      </w:r>
      <w:proofErr w:type="spellEnd"/>
      <w:r>
        <w:rPr>
          <w:lang w:val="en-US"/>
        </w:rPr>
        <w:t xml:space="preserve"> AMS Hub</w:t>
      </w:r>
      <w:r>
        <w:rPr>
          <w:rFonts w:ascii="Arial Unicode MS" w:hAnsi="Arial Unicode MS"/>
        </w:rPr>
        <w:br/>
      </w:r>
    </w:p>
    <w:p w:rsidR="00404E07" w:rsidRDefault="00C5387E" w:rsidP="007C439D">
      <w:pPr>
        <w:pStyle w:val="Body"/>
        <w:pBdr>
          <w:top w:val="nil"/>
        </w:pBdr>
      </w:pPr>
      <w:r>
        <w:rPr>
          <w:lang w:val="en-US"/>
        </w:rPr>
        <w:t>March 2018</w:t>
      </w:r>
    </w:p>
    <w:p w:rsidR="00404E07" w:rsidRDefault="00404E07" w:rsidP="007C439D">
      <w:pPr>
        <w:pStyle w:val="Heading"/>
        <w:pBdr>
          <w:top w:val="nil"/>
        </w:pBdr>
      </w:pPr>
    </w:p>
    <w:p w:rsidR="00404E07" w:rsidRDefault="00B82314" w:rsidP="007C439D">
      <w:pPr>
        <w:pStyle w:val="Heading"/>
        <w:pBdr>
          <w:top w:val="nil"/>
        </w:pBdr>
      </w:pPr>
      <w:r>
        <w:rPr>
          <w:rFonts w:eastAsia="Arial Unicode MS" w:cs="Arial Unicode MS"/>
          <w:lang w:val="en-US"/>
        </w:rPr>
        <w:t xml:space="preserve">Re: </w:t>
      </w:r>
      <w:r w:rsidR="0059155B">
        <w:rPr>
          <w:rFonts w:eastAsia="Arial Unicode MS" w:cs="Arial Unicode MS"/>
          <w:lang w:val="en-US"/>
        </w:rPr>
        <w:t xml:space="preserve">Chief Medical </w:t>
      </w:r>
      <w:r>
        <w:rPr>
          <w:rFonts w:eastAsia="Arial Unicode MS" w:cs="Arial Unicode MS"/>
          <w:lang w:val="en-US"/>
        </w:rPr>
        <w:t>O</w:t>
      </w:r>
      <w:r w:rsidR="0059155B">
        <w:rPr>
          <w:rFonts w:eastAsia="Arial Unicode MS" w:cs="Arial Unicode MS"/>
          <w:lang w:val="en-US"/>
        </w:rPr>
        <w:t>fficer</w:t>
      </w:r>
      <w:r>
        <w:rPr>
          <w:rFonts w:eastAsia="Arial Unicode MS" w:cs="Arial Unicode MS"/>
          <w:lang w:val="en-US"/>
        </w:rPr>
        <w:t xml:space="preserve"> </w:t>
      </w:r>
      <w:proofErr w:type="gramStart"/>
      <w:r>
        <w:rPr>
          <w:rFonts w:eastAsia="Arial Unicode MS" w:cs="Arial Unicode MS"/>
          <w:lang w:val="en-US"/>
        </w:rPr>
        <w:t>l</w:t>
      </w:r>
      <w:r w:rsidR="00C5387E">
        <w:rPr>
          <w:rFonts w:eastAsia="Arial Unicode MS" w:cs="Arial Unicode MS"/>
          <w:lang w:val="en-US"/>
        </w:rPr>
        <w:t>etters</w:t>
      </w:r>
      <w:proofErr w:type="gramEnd"/>
      <w:r w:rsidR="00C5387E">
        <w:rPr>
          <w:rFonts w:eastAsia="Arial Unicode MS" w:cs="Arial Unicode MS"/>
          <w:lang w:val="en-US"/>
        </w:rPr>
        <w:t xml:space="preserve"> to </w:t>
      </w:r>
      <w:r>
        <w:rPr>
          <w:rFonts w:eastAsia="Arial Unicode MS" w:cs="Arial Unicode MS"/>
          <w:lang w:val="en-US"/>
        </w:rPr>
        <w:t>antibiotic p</w:t>
      </w:r>
      <w:r w:rsidR="00C5387E">
        <w:rPr>
          <w:rFonts w:eastAsia="Arial Unicode MS" w:cs="Arial Unicode MS"/>
          <w:lang w:val="en-US"/>
        </w:rPr>
        <w:t xml:space="preserve">rescribers </w:t>
      </w:r>
      <w:r w:rsidR="00C5387E">
        <w:rPr>
          <w:rFonts w:eastAsia="Arial Unicode MS" w:cs="Arial Unicode MS"/>
        </w:rPr>
        <w:t xml:space="preserve">– </w:t>
      </w:r>
      <w:r w:rsidR="00C5387E">
        <w:rPr>
          <w:rFonts w:eastAsia="Arial Unicode MS" w:cs="Arial Unicode MS"/>
          <w:lang w:val="fr-FR"/>
        </w:rPr>
        <w:t xml:space="preserve">sent </w:t>
      </w:r>
      <w:r w:rsidR="00C5387E">
        <w:rPr>
          <w:rFonts w:eastAsia="Arial Unicode MS" w:cs="Arial Unicode MS"/>
          <w:lang w:val="en-US"/>
        </w:rPr>
        <w:t>March 2018</w:t>
      </w:r>
    </w:p>
    <w:p w:rsidR="00404E07" w:rsidRDefault="00404E07" w:rsidP="007C439D">
      <w:pPr>
        <w:pStyle w:val="Body"/>
        <w:pBdr>
          <w:top w:val="nil"/>
        </w:pBdr>
      </w:pPr>
    </w:p>
    <w:p w:rsidR="00404E07" w:rsidRPr="00344E14" w:rsidRDefault="00C5387E" w:rsidP="007C439D">
      <w:pPr>
        <w:pStyle w:val="Body"/>
        <w:pBdr>
          <w:top w:val="nil"/>
        </w:pBdr>
      </w:pPr>
      <w:r>
        <w:rPr>
          <w:lang w:val="en-US"/>
        </w:rPr>
        <w:t xml:space="preserve">Improving antibiotic stewardship is a priority for Public Health England due to the continuing threat of antimicrobial resistance. </w:t>
      </w:r>
      <w:r>
        <w:rPr>
          <w:u w:val="single"/>
          <w:lang w:val="en-US"/>
        </w:rPr>
        <w:t xml:space="preserve">The Chief Medical Officer </w:t>
      </w:r>
      <w:r w:rsidR="0059155B">
        <w:rPr>
          <w:u w:val="single"/>
          <w:lang w:val="en-US"/>
        </w:rPr>
        <w:t xml:space="preserve">(CMO) </w:t>
      </w:r>
      <w:r>
        <w:rPr>
          <w:u w:val="single"/>
          <w:lang w:val="en-US"/>
        </w:rPr>
        <w:t>for England is sending her annual feedback letter on antibiotic prescribing rates to GPs in March</w:t>
      </w:r>
      <w:r>
        <w:rPr>
          <w:u w:val="single"/>
        </w:rPr>
        <w:t xml:space="preserve"> 201</w:t>
      </w:r>
      <w:r>
        <w:rPr>
          <w:u w:val="single"/>
          <w:lang w:val="en-US"/>
        </w:rPr>
        <w:t>8</w:t>
      </w:r>
      <w:r>
        <w:rPr>
          <w:u w:val="single"/>
        </w:rPr>
        <w:t>.</w:t>
      </w:r>
      <w:r w:rsidR="00344E14">
        <w:t xml:space="preserve"> </w:t>
      </w:r>
      <w:r w:rsidR="00344E14" w:rsidRPr="00344E14">
        <w:t xml:space="preserve">A copy of the TARGET </w:t>
      </w:r>
      <w:r w:rsidR="00344E14">
        <w:t>‘</w:t>
      </w:r>
      <w:r w:rsidR="00344E14" w:rsidRPr="00344E14">
        <w:t>Treating Your Infection patient information leaflet</w:t>
      </w:r>
      <w:r w:rsidR="00344E14">
        <w:t>’</w:t>
      </w:r>
      <w:r w:rsidR="00344E14" w:rsidRPr="00344E14">
        <w:t xml:space="preserve"> is also </w:t>
      </w:r>
      <w:r w:rsidR="00344E14">
        <w:t>enclosed</w:t>
      </w:r>
      <w:r w:rsidR="00344E14" w:rsidRPr="00344E14">
        <w:t xml:space="preserve"> and practices are encouraged to work with their CCG prescribing advisors</w:t>
      </w:r>
    </w:p>
    <w:p w:rsidR="00404E07" w:rsidRDefault="00404E07" w:rsidP="007C439D">
      <w:pPr>
        <w:pStyle w:val="Body"/>
        <w:pBdr>
          <w:top w:val="nil"/>
        </w:pBdr>
      </w:pPr>
    </w:p>
    <w:p w:rsidR="00D149C5" w:rsidRDefault="00C5387E" w:rsidP="007C439D">
      <w:pPr>
        <w:pStyle w:val="Body"/>
        <w:pBdr>
          <w:top w:val="nil"/>
        </w:pBdr>
        <w:rPr>
          <w:lang w:val="en-US"/>
        </w:rPr>
      </w:pPr>
      <w:r>
        <w:rPr>
          <w:lang w:val="en-US"/>
        </w:rPr>
        <w:t>The feedback letters are being sent to</w:t>
      </w:r>
      <w:r w:rsidR="00D149C5">
        <w:rPr>
          <w:lang w:val="en-US"/>
        </w:rPr>
        <w:t xml:space="preserve"> (see below for more details):</w:t>
      </w:r>
    </w:p>
    <w:p w:rsidR="00D149C5" w:rsidRDefault="00D149C5" w:rsidP="007C439D">
      <w:pPr>
        <w:pStyle w:val="Body"/>
        <w:numPr>
          <w:ilvl w:val="0"/>
          <w:numId w:val="1"/>
        </w:numPr>
        <w:spacing w:after="120"/>
        <w:ind w:left="777" w:hanging="357"/>
        <w:rPr>
          <w:lang w:val="en-US"/>
        </w:rPr>
      </w:pPr>
      <w:r>
        <w:rPr>
          <w:lang w:val="en-US"/>
        </w:rPr>
        <w:t>O</w:t>
      </w:r>
      <w:r w:rsidR="00C5387E">
        <w:rPr>
          <w:lang w:val="en-US"/>
        </w:rPr>
        <w:t xml:space="preserve">ver </w:t>
      </w:r>
      <w:r>
        <w:rPr>
          <w:lang w:val="en-US"/>
        </w:rPr>
        <w:t>6,300</w:t>
      </w:r>
      <w:r w:rsidR="00C5387E">
        <w:rPr>
          <w:lang w:val="en-US"/>
        </w:rPr>
        <w:t xml:space="preserve"> individual GPs in over 1,400 different GP practices with hig</w:t>
      </w:r>
      <w:r>
        <w:rPr>
          <w:lang w:val="en-US"/>
        </w:rPr>
        <w:t>h antibiotic prescribing rates as in previous years.</w:t>
      </w:r>
    </w:p>
    <w:p w:rsidR="00D149C5" w:rsidRDefault="00D149C5" w:rsidP="00D149C5">
      <w:pPr>
        <w:pStyle w:val="Body"/>
        <w:numPr>
          <w:ilvl w:val="0"/>
          <w:numId w:val="1"/>
        </w:numPr>
        <w:rPr>
          <w:lang w:val="en-US"/>
        </w:rPr>
      </w:pPr>
      <w:r w:rsidRPr="00D149C5">
        <w:rPr>
          <w:u w:val="single"/>
          <w:lang w:val="en-US"/>
        </w:rPr>
        <w:t>Half of</w:t>
      </w:r>
      <w:r>
        <w:rPr>
          <w:lang w:val="en-US"/>
        </w:rPr>
        <w:t xml:space="preserve"> almost 2,400 individual GPs in over 900</w:t>
      </w:r>
      <w:r w:rsidRPr="00D149C5">
        <w:rPr>
          <w:lang w:val="en-US"/>
        </w:rPr>
        <w:t xml:space="preserve"> </w:t>
      </w:r>
      <w:r>
        <w:rPr>
          <w:lang w:val="en-US"/>
        </w:rPr>
        <w:t>different GP practices with antibiotic prescribing rates that ha</w:t>
      </w:r>
      <w:r w:rsidR="00EC6840">
        <w:rPr>
          <w:lang w:val="en-US"/>
        </w:rPr>
        <w:t>ve</w:t>
      </w:r>
      <w:r>
        <w:rPr>
          <w:lang w:val="en-US"/>
        </w:rPr>
        <w:t xml:space="preserve"> increased year-on-year. This is being run as a </w:t>
      </w:r>
      <w:proofErr w:type="spellStart"/>
      <w:r w:rsidR="00EC6840">
        <w:rPr>
          <w:lang w:val="en-US"/>
        </w:rPr>
        <w:t>randomis</w:t>
      </w:r>
      <w:r>
        <w:rPr>
          <w:lang w:val="en-US"/>
        </w:rPr>
        <w:t>ed</w:t>
      </w:r>
      <w:proofErr w:type="spellEnd"/>
      <w:r>
        <w:rPr>
          <w:lang w:val="en-US"/>
        </w:rPr>
        <w:t xml:space="preserve"> controlled trial to test whether it is effective in supporting GPs to improve their antibiotic stewardship.</w:t>
      </w:r>
    </w:p>
    <w:p w:rsidR="00D149C5" w:rsidRDefault="00D149C5">
      <w:pPr>
        <w:pStyle w:val="Body"/>
        <w:rPr>
          <w:lang w:val="en-US"/>
        </w:rPr>
      </w:pPr>
    </w:p>
    <w:p w:rsidR="00D149C5" w:rsidRDefault="00D149C5" w:rsidP="007C439D">
      <w:pPr>
        <w:pStyle w:val="Body"/>
        <w:numPr>
          <w:ilvl w:val="0"/>
          <w:numId w:val="2"/>
        </w:numPr>
        <w:spacing w:after="240"/>
        <w:rPr>
          <w:lang w:val="en-US"/>
        </w:rPr>
      </w:pPr>
      <w:r>
        <w:rPr>
          <w:lang w:val="en-US"/>
        </w:rPr>
        <w:t xml:space="preserve">GP practices with high antibiotic prescribing rates </w:t>
      </w:r>
    </w:p>
    <w:p w:rsidR="00B82314" w:rsidRDefault="00C5387E">
      <w:pPr>
        <w:pStyle w:val="Body"/>
        <w:rPr>
          <w:lang w:val="en-US"/>
        </w:rPr>
      </w:pPr>
      <w:r>
        <w:rPr>
          <w:lang w:val="en-US"/>
        </w:rPr>
        <w:t xml:space="preserve">Practices were selected </w:t>
      </w:r>
      <w:r w:rsidR="00B82314">
        <w:rPr>
          <w:lang w:val="en-US"/>
        </w:rPr>
        <w:t>if</w:t>
      </w:r>
      <w:r>
        <w:rPr>
          <w:lang w:val="en-US"/>
        </w:rPr>
        <w:t xml:space="preserve"> their level of prescribing </w:t>
      </w:r>
      <w:r w:rsidR="00B82314">
        <w:rPr>
          <w:lang w:val="en-US"/>
        </w:rPr>
        <w:t>was in the top 20% antibacterial Items per STAR-PU for the twelve months (Oct</w:t>
      </w:r>
      <w:r w:rsidR="00B82314">
        <w:t xml:space="preserve"> 201</w:t>
      </w:r>
      <w:r w:rsidR="00B82314">
        <w:rPr>
          <w:lang w:val="en-US"/>
        </w:rPr>
        <w:t>6</w:t>
      </w:r>
      <w:r w:rsidR="00B82314">
        <w:t xml:space="preserve"> –</w:t>
      </w:r>
      <w:r w:rsidR="00B82314">
        <w:rPr>
          <w:lang w:val="nl-NL"/>
        </w:rPr>
        <w:t>Sep 201</w:t>
      </w:r>
      <w:r w:rsidR="00B82314">
        <w:rPr>
          <w:lang w:val="en-US"/>
        </w:rPr>
        <w:t>7) similarly to</w:t>
      </w:r>
      <w:r w:rsidR="00B25C1B">
        <w:rPr>
          <w:lang w:val="en-US"/>
        </w:rPr>
        <w:t xml:space="preserve"> previous years</w:t>
      </w:r>
      <w:r>
        <w:rPr>
          <w:lang w:val="en-US"/>
        </w:rPr>
        <w:t xml:space="preserve">. </w:t>
      </w:r>
      <w:r w:rsidR="00B82314">
        <w:rPr>
          <w:lang w:val="en-US"/>
        </w:rPr>
        <w:t xml:space="preserve">There are three main letters (1, 2, and 3) that have been tailored </w:t>
      </w:r>
      <w:r>
        <w:rPr>
          <w:lang w:val="en-US"/>
        </w:rPr>
        <w:t>according t</w:t>
      </w:r>
      <w:r w:rsidR="00B82314">
        <w:rPr>
          <w:lang w:val="en-US"/>
        </w:rPr>
        <w:t xml:space="preserve">o GP practice prescribing rate and </w:t>
      </w:r>
      <w:r>
        <w:rPr>
          <w:lang w:val="en-US"/>
        </w:rPr>
        <w:t>change in prescribing over time</w:t>
      </w:r>
      <w:r w:rsidR="00B82314">
        <w:rPr>
          <w:lang w:val="en-US"/>
        </w:rPr>
        <w:t xml:space="preserve"> (Table 1). The</w:t>
      </w:r>
      <w:r>
        <w:rPr>
          <w:lang w:val="en-US"/>
        </w:rPr>
        <w:t xml:space="preserve"> </w:t>
      </w:r>
      <w:r w:rsidR="00B82314">
        <w:rPr>
          <w:lang w:val="en-US"/>
        </w:rPr>
        <w:t>letters have also been tailored to acknowledge whether the GP practice had received a CMO letter previously.</w:t>
      </w:r>
    </w:p>
    <w:p w:rsidR="00B82314" w:rsidRDefault="00B82314">
      <w:pPr>
        <w:pStyle w:val="Body"/>
        <w:rPr>
          <w:lang w:val="en-US"/>
        </w:rPr>
      </w:pPr>
    </w:p>
    <w:p w:rsidR="00404E07" w:rsidRDefault="00B25C1B">
      <w:pPr>
        <w:pStyle w:val="Body"/>
      </w:pPr>
      <w:r>
        <w:rPr>
          <w:lang w:val="en-US"/>
        </w:rPr>
        <w:t xml:space="preserve">The letters thank </w:t>
      </w:r>
      <w:r w:rsidR="00C5387E">
        <w:rPr>
          <w:lang w:val="en-US"/>
        </w:rPr>
        <w:t>GPs</w:t>
      </w:r>
      <w:r>
        <w:rPr>
          <w:lang w:val="en-US"/>
        </w:rPr>
        <w:t xml:space="preserve"> who</w:t>
      </w:r>
      <w:r w:rsidR="00C5387E">
        <w:rPr>
          <w:lang w:val="en-US"/>
        </w:rPr>
        <w:t xml:space="preserve"> are already reduc</w:t>
      </w:r>
      <w:r>
        <w:rPr>
          <w:lang w:val="en-US"/>
        </w:rPr>
        <w:t xml:space="preserve">ing their </w:t>
      </w:r>
      <w:r w:rsidR="00344E14">
        <w:rPr>
          <w:lang w:val="en-US"/>
        </w:rPr>
        <w:t>prescribing rates</w:t>
      </w:r>
      <w:r>
        <w:rPr>
          <w:lang w:val="en-US"/>
        </w:rPr>
        <w:t xml:space="preserve">. The letters are designed to </w:t>
      </w:r>
      <w:r w:rsidR="00C5387E">
        <w:rPr>
          <w:lang w:val="en-US"/>
        </w:rPr>
        <w:t xml:space="preserve">support GPs to </w:t>
      </w:r>
      <w:r>
        <w:rPr>
          <w:lang w:val="en-US"/>
        </w:rPr>
        <w:t>improve their antibiotic stewardship</w:t>
      </w:r>
      <w:r w:rsidR="00C5387E">
        <w:rPr>
          <w:lang w:val="en-US"/>
        </w:rPr>
        <w:t xml:space="preserve"> by providing feedback on practice prescribing rates, offering encouragement and s</w:t>
      </w:r>
      <w:r w:rsidR="00344E14">
        <w:rPr>
          <w:lang w:val="en-US"/>
        </w:rPr>
        <w:t>uggesting practical actions</w:t>
      </w:r>
      <w:r w:rsidR="00C5387E">
        <w:rPr>
          <w:lang w:val="en-US"/>
        </w:rPr>
        <w:t xml:space="preserve"> clear</w:t>
      </w:r>
      <w:r w:rsidR="00344E14">
        <w:rPr>
          <w:lang w:val="en-US"/>
        </w:rPr>
        <w:t>ly</w:t>
      </w:r>
      <w:r w:rsidR="00C5387E">
        <w:rPr>
          <w:lang w:val="en-US"/>
        </w:rPr>
        <w:t xml:space="preserve"> and succinct</w:t>
      </w:r>
      <w:r w:rsidR="00344E14">
        <w:rPr>
          <w:lang w:val="en-US"/>
        </w:rPr>
        <w:t>ly</w:t>
      </w:r>
      <w:r w:rsidR="00C5387E">
        <w:rPr>
          <w:lang w:val="en-US"/>
        </w:rPr>
        <w:t>. Public Health England</w:t>
      </w:r>
      <w:r w:rsidR="00C5387E">
        <w:t>’</w:t>
      </w:r>
      <w:r w:rsidR="00C5387E">
        <w:rPr>
          <w:lang w:val="en-US"/>
        </w:rPr>
        <w:t xml:space="preserve">s </w:t>
      </w:r>
      <w:proofErr w:type="spellStart"/>
      <w:r w:rsidR="00C5387E">
        <w:rPr>
          <w:lang w:val="en-US"/>
        </w:rPr>
        <w:t>Behavioural</w:t>
      </w:r>
      <w:proofErr w:type="spellEnd"/>
      <w:r w:rsidR="00C5387E">
        <w:rPr>
          <w:lang w:val="en-US"/>
        </w:rPr>
        <w:t xml:space="preserve"> Insights Team manag</w:t>
      </w:r>
      <w:r w:rsidR="00EC6840">
        <w:rPr>
          <w:lang w:val="en-US"/>
        </w:rPr>
        <w:t>es</w:t>
      </w:r>
      <w:r w:rsidR="00C5387E">
        <w:rPr>
          <w:lang w:val="en-US"/>
        </w:rPr>
        <w:t xml:space="preserve"> the process.</w:t>
      </w:r>
    </w:p>
    <w:p w:rsidR="00404E07" w:rsidRDefault="00404E07">
      <w:pPr>
        <w:pStyle w:val="Body"/>
      </w:pPr>
    </w:p>
    <w:p w:rsidR="00B25C1B" w:rsidRDefault="00B82314" w:rsidP="00B25C1B">
      <w:pPr>
        <w:pStyle w:val="Body"/>
      </w:pPr>
      <w:r>
        <w:rPr>
          <w:lang w:val="en-US"/>
        </w:rPr>
        <w:t>C</w:t>
      </w:r>
      <w:r w:rsidR="00B25C1B">
        <w:rPr>
          <w:lang w:val="en-US"/>
        </w:rPr>
        <w:t xml:space="preserve">opies of all 6 letters </w:t>
      </w:r>
      <w:r>
        <w:rPr>
          <w:lang w:val="en-US"/>
        </w:rPr>
        <w:t>are posted on the AMS Hub with an E</w:t>
      </w:r>
      <w:r w:rsidR="00B25C1B">
        <w:rPr>
          <w:lang w:val="en-US"/>
        </w:rPr>
        <w:t xml:space="preserve">xcel </w:t>
      </w:r>
      <w:r w:rsidR="00207934">
        <w:rPr>
          <w:lang w:val="en-US"/>
        </w:rPr>
        <w:t>spread</w:t>
      </w:r>
      <w:r w:rsidR="00B25C1B">
        <w:rPr>
          <w:lang w:val="en-US"/>
        </w:rPr>
        <w:t xml:space="preserve">sheet </w:t>
      </w:r>
      <w:r w:rsidR="00207934">
        <w:rPr>
          <w:lang w:val="en-US"/>
        </w:rPr>
        <w:t>(</w:t>
      </w:r>
      <w:r w:rsidR="00207934" w:rsidRPr="00207934">
        <w:rPr>
          <w:lang w:val="en-US"/>
        </w:rPr>
        <w:t>TOP20PRACTICES.csv</w:t>
      </w:r>
      <w:r w:rsidR="00207934">
        <w:rPr>
          <w:lang w:val="en-US"/>
        </w:rPr>
        <w:t xml:space="preserve">) </w:t>
      </w:r>
      <w:r w:rsidR="00B25C1B">
        <w:rPr>
          <w:lang w:val="en-US"/>
        </w:rPr>
        <w:t xml:space="preserve">containing details of all practices </w:t>
      </w:r>
      <w:r w:rsidR="00EC6840">
        <w:rPr>
          <w:lang w:val="en-US"/>
        </w:rPr>
        <w:t>that</w:t>
      </w:r>
      <w:r w:rsidR="00B25C1B">
        <w:rPr>
          <w:lang w:val="en-US"/>
        </w:rPr>
        <w:t xml:space="preserve"> have been sent letters. Note the letters suggest the prescribers do contact their CCG prescribing advisers for antimicrobial stewardship support.</w:t>
      </w:r>
    </w:p>
    <w:p w:rsidR="00B25C1B" w:rsidRDefault="00EC6840" w:rsidP="00B25C1B">
      <w:pPr>
        <w:pStyle w:val="Body"/>
        <w:rPr>
          <w:lang w:val="en-US"/>
        </w:rPr>
      </w:pPr>
      <w:proofErr w:type="gramStart"/>
      <w:r>
        <w:rPr>
          <w:lang w:val="en-US"/>
        </w:rPr>
        <w:lastRenderedPageBreak/>
        <w:t>Table 1.</w:t>
      </w:r>
      <w:proofErr w:type="gramEnd"/>
      <w:r>
        <w:rPr>
          <w:lang w:val="en-US"/>
        </w:rPr>
        <w:t xml:space="preserve"> Allocation a</w:t>
      </w:r>
      <w:bookmarkStart w:id="0" w:name="_GoBack"/>
      <w:r>
        <w:rPr>
          <w:lang w:val="en-US"/>
        </w:rPr>
        <w:t>n</w:t>
      </w:r>
      <w:bookmarkEnd w:id="0"/>
      <w:r>
        <w:rPr>
          <w:lang w:val="en-US"/>
        </w:rPr>
        <w:t>d tailoring of CMO letters to high antibiotic prescribers</w:t>
      </w:r>
    </w:p>
    <w:p w:rsidR="00EC6840" w:rsidRDefault="00EC6840" w:rsidP="00B25C1B">
      <w:pPr>
        <w:pStyle w:val="Body"/>
        <w:rPr>
          <w:lang w:val="en-US"/>
        </w:rPr>
      </w:pPr>
    </w:p>
    <w:tbl>
      <w:tblPr>
        <w:tblW w:w="9857" w:type="dxa"/>
        <w:tblInd w:w="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8"/>
        <w:gridCol w:w="1505"/>
        <w:gridCol w:w="1073"/>
        <w:gridCol w:w="996"/>
        <w:gridCol w:w="1109"/>
        <w:gridCol w:w="1936"/>
        <w:gridCol w:w="1095"/>
        <w:gridCol w:w="1095"/>
      </w:tblGrid>
      <w:tr w:rsidR="00EC6840" w:rsidTr="00CD493C">
        <w:trPr>
          <w:trHeight w:val="68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Performance in the Last 12mths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Variance from 2016/17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Headline Message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Secondary Message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Count of practices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Count of GPs</w:t>
            </w:r>
          </w:p>
        </w:tc>
      </w:tr>
      <w:tr w:rsidR="00EC6840" w:rsidTr="00CD493C">
        <w:trPr>
          <w:trHeight w:val="288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High rate, have increased since 13/14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color w:val="9C0006"/>
                <w:sz w:val="20"/>
                <w:szCs w:val="20"/>
                <w:u w:color="9C0006"/>
                <w:lang w:val="en-US"/>
              </w:rPr>
              <w:t>Top 20%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color w:val="9C0006"/>
                <w:sz w:val="20"/>
                <w:szCs w:val="20"/>
                <w:u w:color="9C0006"/>
                <w:lang w:val="en-US"/>
              </w:rPr>
              <w:t>Increase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Letter 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Your practice is amongst the 20% highest prescribers of antibiotics nationally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 great majority (80%) of practices in England prescribe fewer antibiotics per head than yours. Most other practices have reduced their prescribing rates since 2013/14 but yours has increased.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398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br/>
              <w:t>(87 have received a letter previously)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1788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br/>
              <w:t>(500 have received a letter previously)</w:t>
            </w:r>
          </w:p>
        </w:tc>
      </w:tr>
      <w:tr w:rsidR="00EC6840" w:rsidTr="00CD493C">
        <w:trPr>
          <w:trHeight w:val="244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High rate, have decreased since 13/14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color w:val="9C0006"/>
                <w:sz w:val="20"/>
                <w:szCs w:val="20"/>
                <w:u w:color="9C0006"/>
                <w:lang w:val="en-US"/>
              </w:rPr>
              <w:t>Top 20% (exclusive of top 10%)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F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color w:val="006100"/>
                <w:sz w:val="20"/>
                <w:szCs w:val="20"/>
                <w:u w:color="006100"/>
                <w:lang w:val="en-US"/>
              </w:rPr>
              <w:t>Decrease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Letter 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Your practice is amongst the 20% highest prescribers of antibiotics nationally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 great majority (80%) of practices in England prescribe fewer antibiotics per head than yours.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519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br/>
              <w:t>(269 have received a letter previously)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2555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br/>
              <w:t>(1803 have received a letter previously)</w:t>
            </w:r>
          </w:p>
        </w:tc>
      </w:tr>
      <w:tr w:rsidR="00EC6840" w:rsidTr="00CD493C">
        <w:trPr>
          <w:trHeight w:val="244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Very high rate, have decreased since 13/14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color w:val="9C0006"/>
                <w:sz w:val="20"/>
                <w:szCs w:val="20"/>
                <w:u w:color="9C0006"/>
                <w:lang w:val="en-US"/>
              </w:rPr>
              <w:t>Top 10%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F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color w:val="006100"/>
                <w:sz w:val="20"/>
                <w:szCs w:val="20"/>
                <w:u w:color="006100"/>
                <w:lang w:val="en-US"/>
              </w:rPr>
              <w:t>Decrease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Letter 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840" w:rsidRPr="00EC6840" w:rsidRDefault="00EC6840" w:rsidP="00CD493C">
            <w:pPr>
              <w:pStyle w:val="Body"/>
              <w:keepNext/>
              <w:spacing w:line="240" w:lineRule="auto"/>
            </w:pPr>
            <w:r w:rsidRPr="00EC684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Your practice is amongst the 10% highest prescribers of antibiotics nationally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 w:rsidRPr="00EC684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 great majority (90%) of practices in England prescribe fewer antibiotics per head than yours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497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br/>
              <w:t>(351 have received a letter previously)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840" w:rsidRDefault="00EC6840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2038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br/>
              <w:t>(1820 have received a letter previously)</w:t>
            </w:r>
          </w:p>
        </w:tc>
      </w:tr>
    </w:tbl>
    <w:p w:rsidR="00B25C1B" w:rsidRDefault="00B25C1B" w:rsidP="00B25C1B">
      <w:pPr>
        <w:pStyle w:val="Body"/>
        <w:rPr>
          <w:lang w:val="en-US"/>
        </w:rPr>
      </w:pPr>
    </w:p>
    <w:p w:rsidR="00B25C1B" w:rsidRDefault="00B25C1B" w:rsidP="00B25C1B">
      <w:pPr>
        <w:pStyle w:val="Body"/>
      </w:pPr>
    </w:p>
    <w:p w:rsidR="00404E07" w:rsidRDefault="00B82314">
      <w:pPr>
        <w:pStyle w:val="Body"/>
      </w:pPr>
      <w:r>
        <w:rPr>
          <w:lang w:val="en-US"/>
        </w:rPr>
        <w:t xml:space="preserve">Evidence to support this intervention comes from </w:t>
      </w:r>
      <w:r w:rsidR="00C5387E">
        <w:rPr>
          <w:lang w:val="en-US"/>
        </w:rPr>
        <w:t xml:space="preserve">a </w:t>
      </w:r>
      <w:proofErr w:type="spellStart"/>
      <w:r w:rsidR="00C5387E">
        <w:rPr>
          <w:lang w:val="en-US"/>
        </w:rPr>
        <w:t>randomised</w:t>
      </w:r>
      <w:proofErr w:type="spellEnd"/>
      <w:r w:rsidR="00C5387E">
        <w:rPr>
          <w:lang w:val="en-US"/>
        </w:rPr>
        <w:t xml:space="preserve"> controlled trial </w:t>
      </w:r>
      <w:r>
        <w:rPr>
          <w:lang w:val="en-US"/>
        </w:rPr>
        <w:t xml:space="preserve">that Public Health England ran </w:t>
      </w:r>
      <w:r w:rsidR="00C5387E">
        <w:rPr>
          <w:lang w:val="en-US"/>
        </w:rPr>
        <w:t xml:space="preserve">in 2014/15 to test the effect of sending feedback to GPs </w:t>
      </w:r>
      <w:r w:rsidR="00B25C1B">
        <w:rPr>
          <w:lang w:val="en-US"/>
        </w:rPr>
        <w:t xml:space="preserve">where practice prescribing rates were in the top 20% of each NHS Area Team </w:t>
      </w:r>
      <w:r w:rsidR="00C5387E">
        <w:rPr>
          <w:lang w:val="en-US"/>
        </w:rPr>
        <w:t>(LANCET Vol 387, No. 10029, p1743). The trial found that practices that were sent a supportive feedback letter prescribed 3.3% fewer antibiotics than practices</w:t>
      </w:r>
      <w:r w:rsidR="00B25C1B">
        <w:rPr>
          <w:lang w:val="en-US"/>
        </w:rPr>
        <w:t xml:space="preserve"> that did not receive a letter.</w:t>
      </w:r>
    </w:p>
    <w:p w:rsidR="00404E07" w:rsidRDefault="00404E07">
      <w:pPr>
        <w:pStyle w:val="Body"/>
      </w:pPr>
    </w:p>
    <w:p w:rsidR="00404E07" w:rsidRDefault="00C5387E">
      <w:pPr>
        <w:pStyle w:val="Body"/>
      </w:pPr>
      <w:r>
        <w:rPr>
          <w:lang w:val="nl-NL"/>
        </w:rPr>
        <w:t xml:space="preserve">In Jan 2016 </w:t>
      </w:r>
      <w:r>
        <w:rPr>
          <w:lang w:val="en-US"/>
        </w:rPr>
        <w:t>and March 2017 similar letters were sent to all GPs in pr</w:t>
      </w:r>
      <w:r w:rsidR="00B25C1B">
        <w:rPr>
          <w:lang w:val="en-US"/>
        </w:rPr>
        <w:t xml:space="preserve">actices where prescribing rates were </w:t>
      </w:r>
      <w:r>
        <w:rPr>
          <w:lang w:val="en-US"/>
        </w:rPr>
        <w:t>in the top 20% nationally</w:t>
      </w:r>
      <w:r w:rsidR="00B25C1B">
        <w:rPr>
          <w:lang w:val="en-US"/>
        </w:rPr>
        <w:t xml:space="preserve"> (NHS Local Area Teams no longer existed)</w:t>
      </w:r>
      <w:r>
        <w:rPr>
          <w:lang w:val="en-US"/>
        </w:rPr>
        <w:t>.</w:t>
      </w:r>
    </w:p>
    <w:p w:rsidR="00B82314" w:rsidRDefault="00B82314" w:rsidP="00B82314">
      <w:pPr>
        <w:pStyle w:val="Body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 xml:space="preserve">GP practices with increasing antibiotic prescribing rates </w:t>
      </w:r>
    </w:p>
    <w:p w:rsidR="00B82314" w:rsidRDefault="00B82314" w:rsidP="00B82314">
      <w:pPr>
        <w:pStyle w:val="Body"/>
        <w:ind w:left="360"/>
        <w:rPr>
          <w:lang w:val="en-US"/>
        </w:rPr>
      </w:pPr>
    </w:p>
    <w:p w:rsidR="00404E07" w:rsidRDefault="00C5387E">
      <w:pPr>
        <w:pStyle w:val="Body"/>
      </w:pPr>
      <w:r>
        <w:rPr>
          <w:lang w:val="en-US"/>
        </w:rPr>
        <w:t xml:space="preserve">This year, </w:t>
      </w:r>
      <w:r w:rsidR="0059155B">
        <w:rPr>
          <w:lang w:val="en-US"/>
        </w:rPr>
        <w:t>the CMO is also writing a supportive feedback letter to encourage</w:t>
      </w:r>
      <w:r w:rsidR="0059155B" w:rsidRPr="0059155B">
        <w:rPr>
          <w:lang w:val="en-US"/>
        </w:rPr>
        <w:t xml:space="preserve"> </w:t>
      </w:r>
      <w:r w:rsidR="0059155B">
        <w:rPr>
          <w:lang w:val="en-US"/>
        </w:rPr>
        <w:t>practices whose prescribing has increased by more than 4% year-on-year (comparing Oct</w:t>
      </w:r>
      <w:r w:rsidR="0059155B">
        <w:t xml:space="preserve"> 201</w:t>
      </w:r>
      <w:r w:rsidR="0059155B">
        <w:rPr>
          <w:lang w:val="en-US"/>
        </w:rPr>
        <w:t>5</w:t>
      </w:r>
      <w:r w:rsidR="0059155B">
        <w:t>-</w:t>
      </w:r>
      <w:r w:rsidR="0059155B">
        <w:rPr>
          <w:lang w:val="nl-NL"/>
        </w:rPr>
        <w:t>Sep 2016</w:t>
      </w:r>
      <w:r w:rsidR="0059155B">
        <w:rPr>
          <w:lang w:val="en-US"/>
        </w:rPr>
        <w:t xml:space="preserve"> to Oct</w:t>
      </w:r>
      <w:r w:rsidR="0059155B">
        <w:t xml:space="preserve"> 201</w:t>
      </w:r>
      <w:r w:rsidR="0059155B">
        <w:rPr>
          <w:lang w:val="en-US"/>
        </w:rPr>
        <w:t>6</w:t>
      </w:r>
      <w:r w:rsidR="0059155B">
        <w:t>-</w:t>
      </w:r>
      <w:r w:rsidR="0059155B">
        <w:rPr>
          <w:lang w:val="nl-NL"/>
        </w:rPr>
        <w:t>Sep 201</w:t>
      </w:r>
      <w:r w:rsidR="0059155B">
        <w:rPr>
          <w:lang w:val="en-US"/>
        </w:rPr>
        <w:t xml:space="preserve">7) to improve their antibiotic stewardship. </w:t>
      </w:r>
      <w:r>
        <w:rPr>
          <w:lang w:val="en-US"/>
        </w:rPr>
        <w:t>Public Health England</w:t>
      </w:r>
      <w:r w:rsidR="00B82314">
        <w:rPr>
          <w:lang w:val="en-US"/>
        </w:rPr>
        <w:t>’s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Behavioural</w:t>
      </w:r>
      <w:proofErr w:type="spellEnd"/>
      <w:r>
        <w:rPr>
          <w:lang w:val="en-US"/>
        </w:rPr>
        <w:t xml:space="preserve"> Insights Team is </w:t>
      </w:r>
      <w:r w:rsidR="0059155B">
        <w:rPr>
          <w:lang w:val="en-US"/>
        </w:rPr>
        <w:t>sending the letters on behalf of the CMO to half of these practices in</w:t>
      </w:r>
      <w:r>
        <w:rPr>
          <w:lang w:val="en-US"/>
        </w:rPr>
        <w:t xml:space="preserve"> a </w:t>
      </w:r>
      <w:proofErr w:type="spellStart"/>
      <w:r w:rsidR="00CD3BE7">
        <w:rPr>
          <w:lang w:val="en-US"/>
        </w:rPr>
        <w:t>randomis</w:t>
      </w:r>
      <w:r w:rsidR="007C104F">
        <w:rPr>
          <w:lang w:val="en-US"/>
        </w:rPr>
        <w:t>ed</w:t>
      </w:r>
      <w:proofErr w:type="spellEnd"/>
      <w:r w:rsidR="007C104F">
        <w:rPr>
          <w:lang w:val="en-US"/>
        </w:rPr>
        <w:t xml:space="preserve"> controlled </w:t>
      </w:r>
      <w:r>
        <w:rPr>
          <w:lang w:val="en-US"/>
        </w:rPr>
        <w:t>trial</w:t>
      </w:r>
      <w:r w:rsidR="00207934">
        <w:rPr>
          <w:lang w:val="en-US"/>
        </w:rPr>
        <w:t xml:space="preserve"> (practice-level data shown in Excel file: </w:t>
      </w:r>
      <w:r w:rsidR="00207934" w:rsidRPr="00207934">
        <w:rPr>
          <w:lang w:val="en-US"/>
        </w:rPr>
        <w:t>INCREASE_RATE_PRACTICES.csv</w:t>
      </w:r>
      <w:r w:rsidR="00207934">
        <w:rPr>
          <w:lang w:val="en-US"/>
        </w:rPr>
        <w:t>)</w:t>
      </w:r>
      <w:r w:rsidR="00B82314">
        <w:rPr>
          <w:lang w:val="en-US"/>
        </w:rPr>
        <w:t>.</w:t>
      </w:r>
      <w:r>
        <w:rPr>
          <w:lang w:val="en-US"/>
        </w:rPr>
        <w:t xml:space="preserve"> </w:t>
      </w:r>
      <w:r w:rsidR="0059155B">
        <w:rPr>
          <w:lang w:val="en-US"/>
        </w:rPr>
        <w:t xml:space="preserve">GPs in half of the practices will receive Letter 4 (Table 2) and we will investigate how prescribing rates in those practices compares with the practices that did not receive a letter. </w:t>
      </w:r>
      <w:r w:rsidR="00B82314">
        <w:rPr>
          <w:lang w:val="en-US"/>
        </w:rPr>
        <w:t>This trial excludes practices with prescribing rates in the top 20% as they are already sent a letter as described above. It also excludes p</w:t>
      </w:r>
      <w:r>
        <w:rPr>
          <w:lang w:val="en-US"/>
        </w:rPr>
        <w:t xml:space="preserve">ractices </w:t>
      </w:r>
      <w:r w:rsidR="007C104F">
        <w:rPr>
          <w:lang w:val="en-US"/>
        </w:rPr>
        <w:t xml:space="preserve">with prescribing rates in </w:t>
      </w:r>
      <w:r>
        <w:rPr>
          <w:lang w:val="en-US"/>
        </w:rPr>
        <w:t>the lowest 5%</w:t>
      </w:r>
      <w:r w:rsidR="007C104F">
        <w:rPr>
          <w:lang w:val="en-US"/>
        </w:rPr>
        <w:t xml:space="preserve"> as numbers of items are low and potentially highly variable. O</w:t>
      </w:r>
      <w:r>
        <w:rPr>
          <w:lang w:val="en-US"/>
        </w:rPr>
        <w:t xml:space="preserve">nly 30 GPs in this group (intervention and control combined) had been sent a letter previously, so we did not </w:t>
      </w:r>
      <w:r w:rsidR="007C104F">
        <w:rPr>
          <w:lang w:val="en-US"/>
        </w:rPr>
        <w:t>tailor these letters accordingly</w:t>
      </w:r>
      <w:r>
        <w:rPr>
          <w:lang w:val="en-US"/>
        </w:rPr>
        <w:t>.</w:t>
      </w:r>
    </w:p>
    <w:p w:rsidR="00404E07" w:rsidRDefault="00404E07">
      <w:pPr>
        <w:pStyle w:val="Body"/>
      </w:pPr>
    </w:p>
    <w:p w:rsidR="007C104F" w:rsidRDefault="007C104F" w:rsidP="007C104F">
      <w:pPr>
        <w:pStyle w:val="Body"/>
        <w:rPr>
          <w:lang w:val="en-US"/>
        </w:rPr>
      </w:pPr>
      <w:proofErr w:type="gramStart"/>
      <w:r>
        <w:rPr>
          <w:lang w:val="en-US"/>
        </w:rPr>
        <w:t>Table 2.</w:t>
      </w:r>
      <w:proofErr w:type="gramEnd"/>
      <w:r>
        <w:rPr>
          <w:lang w:val="en-US"/>
        </w:rPr>
        <w:t xml:space="preserve"> Allocation of CMO letters to prescribers with increasing prescribing rates</w:t>
      </w:r>
    </w:p>
    <w:p w:rsidR="00404E07" w:rsidRDefault="00404E07">
      <w:pPr>
        <w:pStyle w:val="Body"/>
      </w:pPr>
    </w:p>
    <w:tbl>
      <w:tblPr>
        <w:tblW w:w="9660" w:type="dxa"/>
        <w:tblInd w:w="2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55"/>
        <w:gridCol w:w="1398"/>
        <w:gridCol w:w="1073"/>
        <w:gridCol w:w="996"/>
        <w:gridCol w:w="1109"/>
        <w:gridCol w:w="1936"/>
        <w:gridCol w:w="1001"/>
        <w:gridCol w:w="992"/>
      </w:tblGrid>
      <w:tr w:rsidR="007C104F" w:rsidTr="007C104F">
        <w:trPr>
          <w:trHeight w:val="6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C104F" w:rsidRDefault="007C104F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C104F" w:rsidRDefault="007C104F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Performance in the Last 12mths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C104F" w:rsidRDefault="007C104F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Variance from 2016/17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C104F" w:rsidRDefault="007C104F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C104F" w:rsidRDefault="007C104F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Headline Message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C104F" w:rsidRDefault="007C104F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Secondary Message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C104F" w:rsidRDefault="007C104F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Count of practices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bottom"/>
          </w:tcPr>
          <w:p w:rsidR="007C104F" w:rsidRDefault="007C104F" w:rsidP="00CD493C">
            <w:pPr>
              <w:pStyle w:val="Body"/>
              <w:keepNext/>
              <w:spacing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Count of GPs</w:t>
            </w:r>
          </w:p>
        </w:tc>
      </w:tr>
      <w:tr w:rsidR="007C104F" w:rsidTr="007C104F">
        <w:trPr>
          <w:trHeight w:val="3672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04F" w:rsidRDefault="007C104F">
            <w:pPr>
              <w:keepNext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Have increased prescribing by more than 4%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7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04F" w:rsidRDefault="007C104F">
            <w:pPr>
              <w:keepNext/>
            </w:pPr>
            <w:r>
              <w:rPr>
                <w:rFonts w:ascii="Calibri" w:eastAsia="Calibri" w:hAnsi="Calibri" w:cs="Calibri"/>
                <w:color w:val="9C0006"/>
                <w:sz w:val="20"/>
                <w:szCs w:val="20"/>
                <w:u w:color="9C0006"/>
              </w:rPr>
              <w:t>20-95%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F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04F" w:rsidRDefault="007C104F">
            <w:pPr>
              <w:keepNext/>
            </w:pPr>
            <w:r>
              <w:rPr>
                <w:rFonts w:ascii="Calibri" w:eastAsia="Calibri" w:hAnsi="Calibri" w:cs="Calibri"/>
                <w:color w:val="006100"/>
                <w:sz w:val="20"/>
                <w:szCs w:val="20"/>
                <w:u w:color="006100"/>
              </w:rPr>
              <w:t>Increase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04F" w:rsidRDefault="007C104F">
            <w:pPr>
              <w:keepNext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Letter 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04F" w:rsidRDefault="007C104F">
            <w:pPr>
              <w:keepNext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Antibiotic prescribing rates in your practice have increased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104F" w:rsidRDefault="007C104F">
            <w:pPr>
              <w:pStyle w:val="Body"/>
              <w:spacing w:after="240" w:line="288" w:lineRule="auto"/>
            </w:pPr>
            <w:r>
              <w:rPr>
                <w:rFonts w:ascii="Apercu" w:eastAsia="Apercu" w:hAnsi="Apercu" w:cs="Apercu"/>
                <w:color w:val="040404"/>
                <w:kern w:val="16"/>
                <w:sz w:val="20"/>
                <w:szCs w:val="20"/>
                <w:u w:color="BF6800"/>
                <w:lang w:val="en-US"/>
              </w:rPr>
              <w:t xml:space="preserve">The great majority (80%) of practices in England reduced or </w:t>
            </w:r>
            <w:proofErr w:type="spellStart"/>
            <w:r>
              <w:rPr>
                <w:rFonts w:ascii="Apercu" w:eastAsia="Apercu" w:hAnsi="Apercu" w:cs="Apercu"/>
                <w:color w:val="040404"/>
                <w:kern w:val="16"/>
                <w:sz w:val="20"/>
                <w:szCs w:val="20"/>
                <w:u w:color="BF6800"/>
                <w:lang w:val="en-US"/>
              </w:rPr>
              <w:t>stabilised</w:t>
            </w:r>
            <w:proofErr w:type="spellEnd"/>
            <w:r>
              <w:rPr>
                <w:rFonts w:ascii="Apercu" w:eastAsia="Apercu" w:hAnsi="Apercu" w:cs="Apercu"/>
                <w:color w:val="040404"/>
                <w:kern w:val="16"/>
                <w:sz w:val="20"/>
                <w:szCs w:val="20"/>
                <w:u w:color="BF6800"/>
                <w:lang w:val="en-US"/>
              </w:rPr>
              <w:t xml:space="preserve"> their antibiotic prescribing rates in 2016/17. However, your practice is in the </w:t>
            </w:r>
            <w:proofErr w:type="gramStart"/>
            <w:r>
              <w:rPr>
                <w:rFonts w:ascii="Apercu" w:eastAsia="Apercu" w:hAnsi="Apercu" w:cs="Apercu"/>
                <w:color w:val="040404"/>
                <w:kern w:val="16"/>
                <w:sz w:val="20"/>
                <w:szCs w:val="20"/>
                <w:u w:color="BF6800"/>
                <w:lang w:val="en-US"/>
              </w:rPr>
              <w:t>minority that have</w:t>
            </w:r>
            <w:proofErr w:type="gramEnd"/>
            <w:r>
              <w:rPr>
                <w:rFonts w:ascii="Apercu" w:eastAsia="Apercu" w:hAnsi="Apercu" w:cs="Apercu"/>
                <w:color w:val="040404"/>
                <w:kern w:val="16"/>
                <w:sz w:val="20"/>
                <w:szCs w:val="20"/>
                <w:u w:color="BF6800"/>
                <w:lang w:val="en-US"/>
              </w:rPr>
              <w:t xml:space="preserve"> increased their prescribing by more than 4%.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104F" w:rsidRDefault="007C104F">
            <w:pPr>
              <w:pStyle w:val="Body"/>
              <w:spacing w:after="200"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930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104F" w:rsidRDefault="007C104F" w:rsidP="00CD493C">
            <w:pPr>
              <w:pStyle w:val="Body"/>
              <w:spacing w:after="200"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2340</w:t>
            </w:r>
          </w:p>
        </w:tc>
      </w:tr>
    </w:tbl>
    <w:p w:rsidR="00404E07" w:rsidRDefault="00404E07">
      <w:pPr>
        <w:pStyle w:val="Body"/>
        <w:widowControl w:val="0"/>
        <w:spacing w:line="240" w:lineRule="auto"/>
        <w:ind w:left="93" w:hanging="93"/>
      </w:pPr>
    </w:p>
    <w:p w:rsidR="00404E07" w:rsidRDefault="00404E07">
      <w:pPr>
        <w:pStyle w:val="Body"/>
      </w:pPr>
    </w:p>
    <w:p w:rsidR="00404E07" w:rsidRDefault="00C5387E">
      <w:pPr>
        <w:pStyle w:val="Body"/>
        <w:keepNext/>
      </w:pPr>
      <w:r>
        <w:rPr>
          <w:lang w:val="en-US"/>
        </w:rPr>
        <w:t>If CCGs have any questions please contact:</w:t>
      </w:r>
    </w:p>
    <w:p w:rsidR="00404E07" w:rsidRDefault="00404E07">
      <w:pPr>
        <w:pStyle w:val="Body"/>
        <w:keepNext/>
      </w:pPr>
    </w:p>
    <w:p w:rsidR="00404E07" w:rsidRDefault="00C5387E">
      <w:pPr>
        <w:pStyle w:val="Body"/>
        <w:spacing w:before="100" w:after="100"/>
        <w:rPr>
          <w:sz w:val="16"/>
          <w:szCs w:val="16"/>
        </w:rPr>
      </w:pPr>
      <w:r>
        <w:rPr>
          <w:color w:val="0066CC"/>
          <w:sz w:val="16"/>
          <w:szCs w:val="16"/>
          <w:u w:color="0066CC"/>
          <w:lang w:val="en-US"/>
        </w:rPr>
        <w:t xml:space="preserve">Elizabeth Beech </w:t>
      </w:r>
      <w:r>
        <w:rPr>
          <w:color w:val="0066CC"/>
          <w:sz w:val="16"/>
          <w:szCs w:val="16"/>
          <w:u w:color="0066CC"/>
        </w:rPr>
        <w:t>| </w:t>
      </w:r>
      <w:r>
        <w:rPr>
          <w:color w:val="1F497D"/>
          <w:sz w:val="16"/>
          <w:szCs w:val="16"/>
          <w:u w:color="1F497D"/>
          <w:lang w:val="en-US"/>
        </w:rPr>
        <w:t>National Project Lead - Healthcare Acquired Infection and Antimicrobial Resistance</w:t>
      </w:r>
    </w:p>
    <w:p w:rsidR="00404E07" w:rsidRDefault="007C439D">
      <w:pPr>
        <w:pStyle w:val="Body"/>
        <w:spacing w:before="100" w:after="100"/>
        <w:rPr>
          <w:sz w:val="16"/>
          <w:szCs w:val="16"/>
        </w:rPr>
      </w:pPr>
      <w:hyperlink r:id="rId9" w:history="1">
        <w:r w:rsidR="00C5387E">
          <w:rPr>
            <w:rStyle w:val="Hyperlink1"/>
            <w:lang w:val="en-US"/>
          </w:rPr>
          <w:t>Elizabeth.beech@nhs.net</w:t>
        </w:r>
      </w:hyperlink>
      <w:r w:rsidR="00C5387E">
        <w:rPr>
          <w:sz w:val="16"/>
          <w:szCs w:val="16"/>
        </w:rPr>
        <w:t xml:space="preserve"> | W </w:t>
      </w:r>
      <w:hyperlink r:id="rId10" w:history="1">
        <w:r w:rsidR="00C5387E">
          <w:rPr>
            <w:rStyle w:val="Hyperlink1"/>
            <w:lang w:val="en-US"/>
          </w:rPr>
          <w:t>improvement.nhs.uk</w:t>
        </w:r>
      </w:hyperlink>
    </w:p>
    <w:p w:rsidR="00404E07" w:rsidRDefault="00C5387E">
      <w:pPr>
        <w:pStyle w:val="Body"/>
        <w:spacing w:after="240"/>
        <w:rPr>
          <w:color w:val="6B003F"/>
          <w:sz w:val="16"/>
          <w:szCs w:val="16"/>
          <w:u w:color="6B003F"/>
        </w:rPr>
      </w:pPr>
      <w:r>
        <w:rPr>
          <w:sz w:val="16"/>
          <w:szCs w:val="16"/>
          <w:lang w:val="en-US"/>
        </w:rPr>
        <w:t>Skipton House Area 6C, 80 London Road, London</w:t>
      </w:r>
      <w:proofErr w:type="gramStart"/>
      <w:r>
        <w:rPr>
          <w:sz w:val="16"/>
          <w:szCs w:val="16"/>
          <w:lang w:val="en-US"/>
        </w:rPr>
        <w:t>,SE1</w:t>
      </w:r>
      <w:proofErr w:type="gramEnd"/>
      <w:r>
        <w:rPr>
          <w:sz w:val="16"/>
          <w:szCs w:val="16"/>
          <w:lang w:val="en-US"/>
        </w:rPr>
        <w:t xml:space="preserve"> 6LH</w:t>
      </w:r>
    </w:p>
    <w:p w:rsidR="00404E07" w:rsidRDefault="00C5387E" w:rsidP="0059155B">
      <w:pPr>
        <w:pStyle w:val="Body"/>
        <w:spacing w:after="240"/>
      </w:pPr>
      <w:r>
        <w:rPr>
          <w:color w:val="0066CC"/>
          <w:u w:color="0066CC"/>
        </w:rPr>
        <w:t xml:space="preserve">NHS </w:t>
      </w:r>
      <w:r w:rsidR="0059155B">
        <w:rPr>
          <w:color w:val="1F497D"/>
          <w:u w:color="1F497D"/>
          <w:lang w:val="en-US"/>
        </w:rPr>
        <w:t>Improvement</w:t>
      </w:r>
    </w:p>
    <w:sectPr w:rsidR="00404E07">
      <w:footerReference w:type="default" r:id="rId11"/>
      <w:headerReference w:type="first" r:id="rId12"/>
      <w:footerReference w:type="first" r:id="rId13"/>
      <w:pgSz w:w="11900" w:h="16840"/>
      <w:pgMar w:top="2381" w:right="1021" w:bottom="1135" w:left="1021" w:header="164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7E" w:rsidRDefault="00C5387E">
      <w:r>
        <w:separator/>
      </w:r>
    </w:p>
  </w:endnote>
  <w:endnote w:type="continuationSeparator" w:id="0">
    <w:p w:rsidR="000C347E" w:rsidRDefault="00C5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ercu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07" w:rsidRDefault="00C5387E">
    <w:pPr>
      <w:pStyle w:val="Footer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C439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07" w:rsidRDefault="00C5387E">
    <w:pPr>
      <w:pStyle w:val="Footer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C439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7E" w:rsidRDefault="00C5387E">
      <w:r>
        <w:separator/>
      </w:r>
    </w:p>
  </w:footnote>
  <w:footnote w:type="continuationSeparator" w:id="0">
    <w:p w:rsidR="000C347E" w:rsidRDefault="00C53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07" w:rsidRDefault="00C5387E">
    <w:pPr>
      <w:pStyle w:val="Header"/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1270</wp:posOffset>
          </wp:positionH>
          <wp:positionV relativeFrom="page">
            <wp:posOffset>-17780</wp:posOffset>
          </wp:positionV>
          <wp:extent cx="4065270" cy="2007870"/>
          <wp:effectExtent l="0" t="0" r="0" b="0"/>
          <wp:wrapNone/>
          <wp:docPr id="1073741825" name="officeArt object" descr="PHE small logo for 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HE small logo for A4" descr="PHE small logo for A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5270" cy="20078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34956"/>
    <w:multiLevelType w:val="hybridMultilevel"/>
    <w:tmpl w:val="CE38AF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DA3170"/>
    <w:multiLevelType w:val="hybridMultilevel"/>
    <w:tmpl w:val="BC0A778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4E07"/>
    <w:rsid w:val="000C347E"/>
    <w:rsid w:val="00207934"/>
    <w:rsid w:val="00344E14"/>
    <w:rsid w:val="003B5F48"/>
    <w:rsid w:val="00404E07"/>
    <w:rsid w:val="0059155B"/>
    <w:rsid w:val="007C104F"/>
    <w:rsid w:val="007C439D"/>
    <w:rsid w:val="00B25C1B"/>
    <w:rsid w:val="00B82314"/>
    <w:rsid w:val="00C5387E"/>
    <w:rsid w:val="00CD3BE7"/>
    <w:rsid w:val="00D149C5"/>
    <w:rsid w:val="00EC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pPr>
      <w:spacing w:line="200" w:lineRule="exact"/>
    </w:pPr>
    <w:rPr>
      <w:rFonts w:ascii="Arial" w:hAnsi="Arial" w:cs="Arial Unicode MS"/>
      <w:color w:val="000000"/>
      <w:sz w:val="16"/>
      <w:szCs w:val="16"/>
      <w:u w:color="000000"/>
      <w:lang w:val="en-US"/>
    </w:rPr>
  </w:style>
  <w:style w:type="paragraph" w:customStyle="1" w:styleId="Body">
    <w:name w:val="Body"/>
    <w:pPr>
      <w:spacing w:line="320" w:lineRule="exact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  <w:lang w:val="en-US"/>
    </w:rPr>
  </w:style>
  <w:style w:type="paragraph" w:customStyle="1" w:styleId="Heading">
    <w:name w:val="Heading"/>
    <w:next w:val="Body"/>
    <w:pPr>
      <w:spacing w:line="320" w:lineRule="exact"/>
      <w:outlineLvl w:val="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1">
    <w:name w:val="Hyperlink.1"/>
    <w:basedOn w:val="Link"/>
    <w:rPr>
      <w:color w:val="0000FF"/>
      <w:sz w:val="16"/>
      <w:szCs w:val="16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C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pPr>
      <w:spacing w:line="200" w:lineRule="exact"/>
    </w:pPr>
    <w:rPr>
      <w:rFonts w:ascii="Arial" w:hAnsi="Arial" w:cs="Arial Unicode MS"/>
      <w:color w:val="000000"/>
      <w:sz w:val="16"/>
      <w:szCs w:val="16"/>
      <w:u w:color="000000"/>
      <w:lang w:val="en-US"/>
    </w:rPr>
  </w:style>
  <w:style w:type="paragraph" w:customStyle="1" w:styleId="Body">
    <w:name w:val="Body"/>
    <w:pPr>
      <w:spacing w:line="320" w:lineRule="exact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  <w:lang w:val="en-US"/>
    </w:rPr>
  </w:style>
  <w:style w:type="paragraph" w:customStyle="1" w:styleId="Heading">
    <w:name w:val="Heading"/>
    <w:next w:val="Body"/>
    <w:pPr>
      <w:spacing w:line="320" w:lineRule="exact"/>
      <w:outlineLvl w:val="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1">
    <w:name w:val="Hyperlink.1"/>
    <w:basedOn w:val="Link"/>
    <w:rPr>
      <w:color w:val="0000FF"/>
      <w:sz w:val="16"/>
      <w:szCs w:val="16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C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ph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mprovement.nhs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zabeth.beech@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Chadborn</dc:creator>
  <cp:lastModifiedBy>Tim Chadborn</cp:lastModifiedBy>
  <cp:revision>5</cp:revision>
  <dcterms:created xsi:type="dcterms:W3CDTF">2018-03-08T22:35:00Z</dcterms:created>
  <dcterms:modified xsi:type="dcterms:W3CDTF">2018-03-08T23:10:00Z</dcterms:modified>
</cp:coreProperties>
</file>