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17" w:rsidRDefault="00426417">
      <w:r>
        <w:t>Dear</w:t>
      </w:r>
      <w:r w:rsidR="0065052D">
        <w:t xml:space="preserve"> </w:t>
      </w:r>
    </w:p>
    <w:p w:rsidR="00426417" w:rsidRDefault="00426417" w:rsidP="004E26DE">
      <w:pPr>
        <w:pStyle w:val="NoSpacing"/>
      </w:pPr>
      <w:r>
        <w:t>I am contacting you as we have been reviewing prescriptions</w:t>
      </w:r>
      <w:r w:rsidR="00FD0BCB">
        <w:t xml:space="preserve"> relating to controlled drugs</w:t>
      </w:r>
      <w:r>
        <w:t xml:space="preserve"> </w:t>
      </w:r>
      <w:r w:rsidR="0065052D">
        <w:t>including one for</w:t>
      </w:r>
      <w:r>
        <w:t xml:space="preserve">: </w:t>
      </w:r>
    </w:p>
    <w:tbl>
      <w:tblPr>
        <w:tblStyle w:val="TableGrid"/>
        <w:tblW w:w="9322" w:type="dxa"/>
        <w:tblLook w:val="04A0" w:firstRow="1" w:lastRow="0" w:firstColumn="1" w:lastColumn="0" w:noHBand="0" w:noVBand="1"/>
      </w:tblPr>
      <w:tblGrid>
        <w:gridCol w:w="2376"/>
        <w:gridCol w:w="6946"/>
      </w:tblGrid>
      <w:tr w:rsidR="00426417" w:rsidTr="004E26DE">
        <w:tc>
          <w:tcPr>
            <w:tcW w:w="2376" w:type="dxa"/>
          </w:tcPr>
          <w:p w:rsidR="00426417" w:rsidRDefault="00426417" w:rsidP="004E26DE">
            <w:pPr>
              <w:pStyle w:val="NoSpacing"/>
            </w:pPr>
            <w:r>
              <w:t>name</w:t>
            </w:r>
          </w:p>
        </w:tc>
        <w:tc>
          <w:tcPr>
            <w:tcW w:w="6946" w:type="dxa"/>
          </w:tcPr>
          <w:p w:rsidR="00426417" w:rsidRDefault="00426417" w:rsidP="004E26DE">
            <w:pPr>
              <w:pStyle w:val="NoSpacing"/>
            </w:pPr>
          </w:p>
        </w:tc>
      </w:tr>
      <w:tr w:rsidR="00426417" w:rsidTr="004E26DE">
        <w:tc>
          <w:tcPr>
            <w:tcW w:w="2376" w:type="dxa"/>
          </w:tcPr>
          <w:p w:rsidR="00426417" w:rsidRDefault="00426417">
            <w:r>
              <w:t>DOB</w:t>
            </w:r>
          </w:p>
        </w:tc>
        <w:tc>
          <w:tcPr>
            <w:tcW w:w="6946" w:type="dxa"/>
          </w:tcPr>
          <w:p w:rsidR="00426417" w:rsidRDefault="00426417"/>
        </w:tc>
      </w:tr>
      <w:tr w:rsidR="00426417" w:rsidTr="004E26DE">
        <w:tc>
          <w:tcPr>
            <w:tcW w:w="2376" w:type="dxa"/>
          </w:tcPr>
          <w:p w:rsidR="00426417" w:rsidRDefault="00426417">
            <w:r>
              <w:t>address</w:t>
            </w:r>
          </w:p>
        </w:tc>
        <w:tc>
          <w:tcPr>
            <w:tcW w:w="6946" w:type="dxa"/>
          </w:tcPr>
          <w:p w:rsidR="00426417" w:rsidRDefault="00426417"/>
        </w:tc>
      </w:tr>
      <w:tr w:rsidR="00426417" w:rsidTr="004E26DE">
        <w:tc>
          <w:tcPr>
            <w:tcW w:w="2376" w:type="dxa"/>
          </w:tcPr>
          <w:p w:rsidR="00426417" w:rsidRDefault="0065052D">
            <w:r>
              <w:t>prescriber number</w:t>
            </w:r>
          </w:p>
        </w:tc>
        <w:tc>
          <w:tcPr>
            <w:tcW w:w="6946" w:type="dxa"/>
          </w:tcPr>
          <w:p w:rsidR="00426417" w:rsidRDefault="00426417"/>
        </w:tc>
      </w:tr>
      <w:tr w:rsidR="0065052D" w:rsidTr="004E26DE">
        <w:tc>
          <w:tcPr>
            <w:tcW w:w="2376" w:type="dxa"/>
          </w:tcPr>
          <w:p w:rsidR="0065052D" w:rsidRDefault="0065052D">
            <w:r>
              <w:t>prescriber name</w:t>
            </w:r>
          </w:p>
        </w:tc>
        <w:tc>
          <w:tcPr>
            <w:tcW w:w="6946" w:type="dxa"/>
          </w:tcPr>
          <w:p w:rsidR="0065052D" w:rsidRDefault="0065052D"/>
        </w:tc>
      </w:tr>
      <w:tr w:rsidR="0065052D" w:rsidTr="004E26DE">
        <w:tc>
          <w:tcPr>
            <w:tcW w:w="2376" w:type="dxa"/>
          </w:tcPr>
          <w:p w:rsidR="0065052D" w:rsidRDefault="0065052D">
            <w:r>
              <w:t xml:space="preserve">practice  / hospital </w:t>
            </w:r>
          </w:p>
        </w:tc>
        <w:tc>
          <w:tcPr>
            <w:tcW w:w="6946" w:type="dxa"/>
          </w:tcPr>
          <w:p w:rsidR="0065052D" w:rsidRDefault="0065052D"/>
        </w:tc>
      </w:tr>
      <w:tr w:rsidR="00FD0BCB" w:rsidTr="004E26DE">
        <w:tc>
          <w:tcPr>
            <w:tcW w:w="2376" w:type="dxa"/>
          </w:tcPr>
          <w:p w:rsidR="00FD0BCB" w:rsidRDefault="00FD0BCB">
            <w:r>
              <w:t xml:space="preserve">date of script </w:t>
            </w:r>
          </w:p>
        </w:tc>
        <w:tc>
          <w:tcPr>
            <w:tcW w:w="6946" w:type="dxa"/>
          </w:tcPr>
          <w:p w:rsidR="00FD0BCB" w:rsidRDefault="00FD0BCB"/>
        </w:tc>
      </w:tr>
    </w:tbl>
    <w:p w:rsidR="00B65961" w:rsidRDefault="00B65961" w:rsidP="009C57E9">
      <w:pPr>
        <w:pStyle w:val="NoSpacing"/>
      </w:pPr>
    </w:p>
    <w:p w:rsidR="00B65961" w:rsidRDefault="009C57E9" w:rsidP="009C57E9">
      <w:pPr>
        <w:pStyle w:val="NoSpacing"/>
      </w:pPr>
      <w:r>
        <w:t>A potential</w:t>
      </w:r>
      <w:r w:rsidR="0065052D">
        <w:t xml:space="preserve"> concern </w:t>
      </w:r>
      <w:r w:rsidR="00FD0BCB">
        <w:t>has been id</w:t>
      </w:r>
      <w:r>
        <w:t xml:space="preserve">entified: </w:t>
      </w:r>
    </w:p>
    <w:tbl>
      <w:tblPr>
        <w:tblStyle w:val="TableGrid"/>
        <w:tblW w:w="9322" w:type="dxa"/>
        <w:tblLook w:val="04A0" w:firstRow="1" w:lastRow="0" w:firstColumn="1" w:lastColumn="0" w:noHBand="0" w:noVBand="1"/>
      </w:tblPr>
      <w:tblGrid>
        <w:gridCol w:w="2315"/>
        <w:gridCol w:w="2320"/>
        <w:gridCol w:w="2426"/>
        <w:gridCol w:w="1127"/>
        <w:gridCol w:w="1134"/>
      </w:tblGrid>
      <w:tr w:rsidR="00D668C8" w:rsidTr="00B65961">
        <w:tc>
          <w:tcPr>
            <w:tcW w:w="2315" w:type="dxa"/>
          </w:tcPr>
          <w:p w:rsidR="00D668C8" w:rsidRDefault="00D668C8" w:rsidP="00B65961">
            <w:r>
              <w:t>Drug</w:t>
            </w:r>
          </w:p>
        </w:tc>
        <w:tc>
          <w:tcPr>
            <w:tcW w:w="2320" w:type="dxa"/>
          </w:tcPr>
          <w:p w:rsidR="00D668C8" w:rsidRDefault="00D668C8" w:rsidP="00426417">
            <w:r>
              <w:t>Dose</w:t>
            </w:r>
          </w:p>
        </w:tc>
        <w:tc>
          <w:tcPr>
            <w:tcW w:w="2426" w:type="dxa"/>
          </w:tcPr>
          <w:p w:rsidR="00D668C8" w:rsidRDefault="00D668C8">
            <w:r>
              <w:t>Quantity</w:t>
            </w:r>
          </w:p>
        </w:tc>
        <w:tc>
          <w:tcPr>
            <w:tcW w:w="2261" w:type="dxa"/>
            <w:gridSpan w:val="2"/>
          </w:tcPr>
          <w:p w:rsidR="00D668C8" w:rsidRDefault="00D668C8">
            <w:r>
              <w:t>repeat (R) or acute(A)</w:t>
            </w:r>
          </w:p>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2315" w:type="dxa"/>
          </w:tcPr>
          <w:p w:rsidR="00D668C8" w:rsidRDefault="00D668C8"/>
        </w:tc>
        <w:tc>
          <w:tcPr>
            <w:tcW w:w="2320" w:type="dxa"/>
          </w:tcPr>
          <w:p w:rsidR="00D668C8" w:rsidRDefault="00D668C8"/>
        </w:tc>
        <w:tc>
          <w:tcPr>
            <w:tcW w:w="2426" w:type="dxa"/>
          </w:tcPr>
          <w:p w:rsidR="00D668C8" w:rsidRDefault="00D668C8"/>
        </w:tc>
        <w:tc>
          <w:tcPr>
            <w:tcW w:w="2261" w:type="dxa"/>
            <w:gridSpan w:val="2"/>
          </w:tcPr>
          <w:p w:rsidR="00D668C8" w:rsidRDefault="00D668C8"/>
        </w:tc>
      </w:tr>
      <w:tr w:rsidR="00D668C8" w:rsidTr="00B65961">
        <w:tc>
          <w:tcPr>
            <w:tcW w:w="8188" w:type="dxa"/>
            <w:gridSpan w:val="4"/>
          </w:tcPr>
          <w:p w:rsidR="00D668C8" w:rsidRDefault="00D668C8" w:rsidP="00B65961">
            <w:r>
              <w:t xml:space="preserve">opiate dose appears to be over 120mg oral morphine( equivalent)   daily (Not end of life) </w:t>
            </w:r>
          </w:p>
        </w:tc>
        <w:tc>
          <w:tcPr>
            <w:tcW w:w="1134" w:type="dxa"/>
          </w:tcPr>
          <w:p w:rsidR="00D668C8" w:rsidRDefault="00D668C8" w:rsidP="00D668C8">
            <w:r>
              <w:t xml:space="preserve">tick </w:t>
            </w:r>
          </w:p>
        </w:tc>
      </w:tr>
      <w:tr w:rsidR="00D668C8" w:rsidTr="00B65961">
        <w:tc>
          <w:tcPr>
            <w:tcW w:w="8188" w:type="dxa"/>
            <w:gridSpan w:val="4"/>
          </w:tcPr>
          <w:p w:rsidR="00D668C8" w:rsidRDefault="00D668C8" w:rsidP="001A24B8">
            <w:r>
              <w:t xml:space="preserve">combination opiates with pregabalin / gabapentin  </w:t>
            </w:r>
          </w:p>
        </w:tc>
        <w:tc>
          <w:tcPr>
            <w:tcW w:w="1134" w:type="dxa"/>
          </w:tcPr>
          <w:p w:rsidR="00D668C8" w:rsidRDefault="00D668C8"/>
        </w:tc>
      </w:tr>
      <w:tr w:rsidR="00D668C8" w:rsidTr="00B65961">
        <w:tc>
          <w:tcPr>
            <w:tcW w:w="8188" w:type="dxa"/>
            <w:gridSpan w:val="4"/>
          </w:tcPr>
          <w:p w:rsidR="00D668C8" w:rsidRDefault="00D668C8" w:rsidP="001A24B8">
            <w:r>
              <w:t>combination of opiates with benzodiazepines</w:t>
            </w:r>
          </w:p>
        </w:tc>
        <w:tc>
          <w:tcPr>
            <w:tcW w:w="1134" w:type="dxa"/>
          </w:tcPr>
          <w:p w:rsidR="00D668C8" w:rsidRDefault="00D668C8"/>
        </w:tc>
      </w:tr>
      <w:tr w:rsidR="00D668C8" w:rsidTr="00B65961">
        <w:tc>
          <w:tcPr>
            <w:tcW w:w="8188" w:type="dxa"/>
            <w:gridSpan w:val="4"/>
          </w:tcPr>
          <w:p w:rsidR="00D668C8" w:rsidRDefault="00B65961" w:rsidP="001A24B8">
            <w:r>
              <w:t xml:space="preserve">frequency  of repeats / scripts quantity </w:t>
            </w:r>
          </w:p>
        </w:tc>
        <w:tc>
          <w:tcPr>
            <w:tcW w:w="1134" w:type="dxa"/>
          </w:tcPr>
          <w:p w:rsidR="00D668C8" w:rsidRDefault="00D668C8"/>
        </w:tc>
      </w:tr>
      <w:tr w:rsidR="00FD0BCB" w:rsidTr="00B65961">
        <w:tc>
          <w:tcPr>
            <w:tcW w:w="8188" w:type="dxa"/>
            <w:gridSpan w:val="4"/>
          </w:tcPr>
          <w:p w:rsidR="00FD0BCB" w:rsidRDefault="00FD0BCB" w:rsidP="001A24B8">
            <w:r>
              <w:t xml:space="preserve">other please specify </w:t>
            </w:r>
          </w:p>
        </w:tc>
        <w:tc>
          <w:tcPr>
            <w:tcW w:w="1134" w:type="dxa"/>
          </w:tcPr>
          <w:p w:rsidR="00FD0BCB" w:rsidRDefault="00FD0BCB"/>
        </w:tc>
      </w:tr>
    </w:tbl>
    <w:p w:rsidR="00FD0BCB" w:rsidRDefault="00FD0BCB" w:rsidP="00FD0BCB">
      <w:pPr>
        <w:pStyle w:val="NoSpacing"/>
      </w:pPr>
    </w:p>
    <w:p w:rsidR="0065052D" w:rsidRDefault="0065052D" w:rsidP="00FD0BCB">
      <w:pPr>
        <w:pStyle w:val="NoSpacing"/>
      </w:pPr>
      <w:r>
        <w:t>I would be grateful if you would review this patient’s medication to ensure prescribing is in line with current guidance to promote patient safety</w:t>
      </w:r>
    </w:p>
    <w:p w:rsidR="00FD0BCB" w:rsidRDefault="00FD0BCB" w:rsidP="00FD0BCB">
      <w:pPr>
        <w:pStyle w:val="NoSpacing"/>
      </w:pPr>
    </w:p>
    <w:p w:rsidR="00FD0BCB" w:rsidRDefault="00FD0BCB" w:rsidP="00FD0BCB">
      <w:pPr>
        <w:pStyle w:val="NoSpacing"/>
      </w:pPr>
    </w:p>
    <w:p w:rsidR="0065052D" w:rsidRDefault="0065052D">
      <w:r>
        <w:t>Many thanks for your help</w:t>
      </w:r>
    </w:p>
    <w:tbl>
      <w:tblPr>
        <w:tblStyle w:val="TableGrid"/>
        <w:tblW w:w="9322" w:type="dxa"/>
        <w:tblLook w:val="04A0" w:firstRow="1" w:lastRow="0" w:firstColumn="1" w:lastColumn="0" w:noHBand="0" w:noVBand="1"/>
      </w:tblPr>
      <w:tblGrid>
        <w:gridCol w:w="1951"/>
        <w:gridCol w:w="7371"/>
      </w:tblGrid>
      <w:tr w:rsidR="0065052D" w:rsidTr="00FD0BCB">
        <w:tc>
          <w:tcPr>
            <w:tcW w:w="1951" w:type="dxa"/>
          </w:tcPr>
          <w:p w:rsidR="0065052D" w:rsidRDefault="0065052D">
            <w:r>
              <w:t xml:space="preserve">name </w:t>
            </w:r>
          </w:p>
        </w:tc>
        <w:tc>
          <w:tcPr>
            <w:tcW w:w="7371" w:type="dxa"/>
          </w:tcPr>
          <w:p w:rsidR="0065052D" w:rsidRDefault="0065052D"/>
        </w:tc>
      </w:tr>
      <w:tr w:rsidR="0065052D" w:rsidTr="00FD0BCB">
        <w:trPr>
          <w:trHeight w:val="422"/>
        </w:trPr>
        <w:tc>
          <w:tcPr>
            <w:tcW w:w="1951" w:type="dxa"/>
          </w:tcPr>
          <w:p w:rsidR="0065052D" w:rsidRDefault="0065052D" w:rsidP="00B65961">
            <w:r>
              <w:t>address</w:t>
            </w:r>
          </w:p>
        </w:tc>
        <w:tc>
          <w:tcPr>
            <w:tcW w:w="7371" w:type="dxa"/>
          </w:tcPr>
          <w:p w:rsidR="0065052D" w:rsidRDefault="0065052D"/>
          <w:p w:rsidR="0065052D" w:rsidRDefault="0065052D"/>
          <w:p w:rsidR="0065052D" w:rsidRDefault="0065052D"/>
          <w:p w:rsidR="0065052D" w:rsidRDefault="0065052D"/>
          <w:p w:rsidR="0065052D" w:rsidRDefault="0065052D"/>
        </w:tc>
      </w:tr>
      <w:tr w:rsidR="00B65961" w:rsidTr="00FD0BCB">
        <w:trPr>
          <w:trHeight w:val="422"/>
        </w:trPr>
        <w:tc>
          <w:tcPr>
            <w:tcW w:w="1951" w:type="dxa"/>
          </w:tcPr>
          <w:p w:rsidR="00B65961" w:rsidRDefault="00B65961" w:rsidP="00B65961">
            <w:r>
              <w:t>email</w:t>
            </w:r>
          </w:p>
        </w:tc>
        <w:tc>
          <w:tcPr>
            <w:tcW w:w="7371" w:type="dxa"/>
          </w:tcPr>
          <w:p w:rsidR="00B65961" w:rsidRDefault="00B65961"/>
        </w:tc>
      </w:tr>
      <w:tr w:rsidR="00B65961" w:rsidTr="00FD0BCB">
        <w:trPr>
          <w:trHeight w:val="422"/>
        </w:trPr>
        <w:tc>
          <w:tcPr>
            <w:tcW w:w="1951" w:type="dxa"/>
          </w:tcPr>
          <w:p w:rsidR="00B65961" w:rsidRDefault="00B65961" w:rsidP="00B65961">
            <w:r>
              <w:t>phone number</w:t>
            </w:r>
          </w:p>
        </w:tc>
        <w:tc>
          <w:tcPr>
            <w:tcW w:w="7371" w:type="dxa"/>
          </w:tcPr>
          <w:p w:rsidR="00B65961" w:rsidRDefault="00B65961"/>
        </w:tc>
      </w:tr>
      <w:tr w:rsidR="00FD0BCB" w:rsidTr="00FD0BCB">
        <w:trPr>
          <w:trHeight w:val="422"/>
        </w:trPr>
        <w:tc>
          <w:tcPr>
            <w:tcW w:w="1951" w:type="dxa"/>
          </w:tcPr>
          <w:p w:rsidR="00FD0BCB" w:rsidRDefault="00FD0BCB" w:rsidP="00B65961">
            <w:r>
              <w:t>Signed</w:t>
            </w:r>
          </w:p>
        </w:tc>
        <w:tc>
          <w:tcPr>
            <w:tcW w:w="7371" w:type="dxa"/>
          </w:tcPr>
          <w:p w:rsidR="00FD0BCB" w:rsidRDefault="00FD0BCB"/>
        </w:tc>
      </w:tr>
      <w:tr w:rsidR="00FD0BCB" w:rsidTr="00FD0BCB">
        <w:trPr>
          <w:trHeight w:val="422"/>
        </w:trPr>
        <w:tc>
          <w:tcPr>
            <w:tcW w:w="1951" w:type="dxa"/>
          </w:tcPr>
          <w:p w:rsidR="00FD0BCB" w:rsidRDefault="00FD0BCB" w:rsidP="00B65961">
            <w:r>
              <w:t xml:space="preserve">date </w:t>
            </w:r>
          </w:p>
        </w:tc>
        <w:tc>
          <w:tcPr>
            <w:tcW w:w="7371" w:type="dxa"/>
          </w:tcPr>
          <w:p w:rsidR="00FD0BCB" w:rsidRDefault="00FD0BCB"/>
        </w:tc>
      </w:tr>
    </w:tbl>
    <w:p w:rsidR="00B65961" w:rsidRDefault="00B65961"/>
    <w:tbl>
      <w:tblPr>
        <w:tblStyle w:val="TableGrid"/>
        <w:tblW w:w="9322" w:type="dxa"/>
        <w:tblLook w:val="04A0" w:firstRow="1" w:lastRow="0" w:firstColumn="1" w:lastColumn="0" w:noHBand="0" w:noVBand="1"/>
      </w:tblPr>
      <w:tblGrid>
        <w:gridCol w:w="1951"/>
        <w:gridCol w:w="851"/>
        <w:gridCol w:w="6520"/>
      </w:tblGrid>
      <w:tr w:rsidR="005271AD" w:rsidTr="00FD0BCB">
        <w:tc>
          <w:tcPr>
            <w:tcW w:w="1951" w:type="dxa"/>
          </w:tcPr>
          <w:p w:rsidR="005271AD" w:rsidRDefault="005271AD">
            <w:r>
              <w:t>CDAO copied in?</w:t>
            </w:r>
          </w:p>
        </w:tc>
        <w:tc>
          <w:tcPr>
            <w:tcW w:w="851" w:type="dxa"/>
          </w:tcPr>
          <w:p w:rsidR="005271AD" w:rsidRDefault="005271AD">
            <w:r>
              <w:t xml:space="preserve">yes </w:t>
            </w:r>
          </w:p>
        </w:tc>
        <w:tc>
          <w:tcPr>
            <w:tcW w:w="6520" w:type="dxa"/>
          </w:tcPr>
          <w:p w:rsidR="005271AD" w:rsidRDefault="005271AD" w:rsidP="005271AD">
            <w:r>
              <w:t>Reason</w:t>
            </w:r>
          </w:p>
          <w:p w:rsidR="005271AD" w:rsidRDefault="005271AD"/>
        </w:tc>
      </w:tr>
      <w:tr w:rsidR="005271AD" w:rsidTr="00FD0BCB">
        <w:tc>
          <w:tcPr>
            <w:tcW w:w="1951" w:type="dxa"/>
          </w:tcPr>
          <w:p w:rsidR="005271AD" w:rsidRDefault="005271AD"/>
        </w:tc>
        <w:tc>
          <w:tcPr>
            <w:tcW w:w="851" w:type="dxa"/>
          </w:tcPr>
          <w:p w:rsidR="005271AD" w:rsidRDefault="005271AD"/>
        </w:tc>
        <w:tc>
          <w:tcPr>
            <w:tcW w:w="6520" w:type="dxa"/>
          </w:tcPr>
          <w:p w:rsidR="005271AD" w:rsidRDefault="005271AD" w:rsidP="005271AD"/>
        </w:tc>
      </w:tr>
    </w:tbl>
    <w:p w:rsidR="00B65961" w:rsidRDefault="00B65961"/>
    <w:p w:rsidR="001A24B8" w:rsidRDefault="0065052D" w:rsidP="001A24B8">
      <w:pPr>
        <w:pStyle w:val="ListParagraph"/>
        <w:numPr>
          <w:ilvl w:val="0"/>
          <w:numId w:val="1"/>
        </w:numPr>
      </w:pPr>
      <w:r>
        <w:lastRenderedPageBreak/>
        <w:t>Opioids</w:t>
      </w:r>
      <w:r w:rsidR="005847C6">
        <w:t xml:space="preserve"> aware. </w:t>
      </w:r>
      <w:hyperlink r:id="rId8" w:history="1">
        <w:r w:rsidR="001A24B8" w:rsidRPr="002F7FCB">
          <w:rPr>
            <w:rStyle w:val="Hyperlink"/>
          </w:rPr>
          <w:t>https://rcoa.ac.uk/faculty-of-pain-medicine/opioids-aware</w:t>
        </w:r>
        <w:r w:rsidR="001A24B8" w:rsidRPr="002F7FCB">
          <w:rPr>
            <w:rStyle w:val="Hyperlink"/>
            <w:noProof/>
            <w:lang w:eastAsia="en-GB"/>
          </w:rPr>
          <w:drawing>
            <wp:inline distT="0" distB="0" distL="0" distR="0" wp14:anchorId="7D02BDD1" wp14:editId="6D38E4A6">
              <wp:extent cx="5734050" cy="3857625"/>
              <wp:effectExtent l="0" t="0" r="0" b="9525"/>
              <wp:docPr id="1" name="Picture 1" descr="\\ims.gov.uk\data\Users\GBBULVD\BULHOME5\SRann\Data\Desktop\FPM-Opioid-Graphic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s.gov.uk\data\Users\GBBULVD\BULHOME5\SRann\Data\Desktop\FPM-Opioid-Graphic3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857625"/>
                      </a:xfrm>
                      <a:prstGeom prst="rect">
                        <a:avLst/>
                      </a:prstGeom>
                      <a:noFill/>
                      <a:ln>
                        <a:noFill/>
                      </a:ln>
                    </pic:spPr>
                  </pic:pic>
                </a:graphicData>
              </a:graphic>
            </wp:inline>
          </w:drawing>
        </w:r>
      </w:hyperlink>
    </w:p>
    <w:p w:rsidR="001A24B8" w:rsidRDefault="00CA072B" w:rsidP="001A24B8">
      <w:pPr>
        <w:pStyle w:val="ListParagraph"/>
        <w:numPr>
          <w:ilvl w:val="0"/>
          <w:numId w:val="1"/>
        </w:numPr>
      </w:pPr>
      <w:hyperlink r:id="rId10" w:history="1">
        <w:r w:rsidR="001A24B8" w:rsidRPr="002F7FCB">
          <w:rPr>
            <w:rStyle w:val="Hyperlink"/>
          </w:rPr>
          <w:t>https://www.gov.uk/government/uploads/system/uploads/attachment_data/file/385791/PHE-NHS_England_pregabalin_and_gabapentin_advice_Dec_2014.pdf</w:t>
        </w:r>
      </w:hyperlink>
      <w:r w:rsidR="001A24B8">
        <w:t xml:space="preserve">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 xml:space="preserve">Pregabalin and gabapentin are predominantly excreted unchanged in the urine; they undergo respectively negligible or no metabolism in humans. They do not inhibit drug metabolism in vitro and are not bound to plasma proteins, so they are unlikely to produce, or be subject to, pharmacokinetic interactions.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If more than one central nervous system depressant is taken (</w:t>
      </w:r>
      <w:r w:rsidR="00881196" w:rsidRPr="0065052D">
        <w:rPr>
          <w:rFonts w:asciiTheme="minorHAnsi" w:hAnsiTheme="minorHAnsi" w:cstheme="minorHAnsi"/>
          <w:sz w:val="16"/>
          <w:szCs w:val="16"/>
        </w:rPr>
        <w:t>e.g.</w:t>
      </w:r>
      <w:r w:rsidRPr="0065052D">
        <w:rPr>
          <w:rFonts w:asciiTheme="minorHAnsi" w:hAnsiTheme="minorHAnsi" w:cstheme="minorHAnsi"/>
          <w:sz w:val="16"/>
          <w:szCs w:val="16"/>
        </w:rPr>
        <w:t xml:space="preserve">, alcohol even in small amounts, antidepressants, anti-emetics, anti-epileptics, antihistamines, antipsychotics, anxiolytics, barbiturates, hypnotics, opioid analgesics, skeletal muscle relaxants), the central nervous system depressant effects may be additive (of drowsiness, sedation, respiratory depression and, at the extreme, death). There are reports of respiratory failure and coma in patients taking pregabalin and other central nervous system-depressant medicinal products. Cumulative central nervous system depression, ranging from drowsiness to stupor, is particularly dangerous in situations where alertness is needed. In 1994 it was estimated that as many as 600 traffic accident fatalities each year in the UK could be attributed to the sedative effects of psychoactive drugs. </w:t>
      </w:r>
    </w:p>
    <w:p w:rsidR="001A24B8" w:rsidRPr="0065052D" w:rsidRDefault="001A24B8" w:rsidP="001A24B8">
      <w:pPr>
        <w:pStyle w:val="Default"/>
        <w:rPr>
          <w:rFonts w:asciiTheme="minorHAnsi" w:hAnsiTheme="minorHAnsi" w:cstheme="minorHAnsi"/>
          <w:sz w:val="16"/>
          <w:szCs w:val="16"/>
        </w:rPr>
      </w:pPr>
      <w:r w:rsidRPr="0065052D">
        <w:rPr>
          <w:rFonts w:asciiTheme="minorHAnsi" w:hAnsiTheme="minorHAnsi" w:cstheme="minorHAnsi"/>
          <w:sz w:val="16"/>
          <w:szCs w:val="16"/>
        </w:rPr>
        <w:t xml:space="preserve">There are particular issues in secure settings where deaths have been found to involve drug and alcohol misuse or dependence, combined with physical and mental health issues and illicit and/or diverted medication. In some cases, pregabalin or gabapentin is found in combination with other central nervous system depressants in addition to methadone and/or chlordiazepoxide prescribed for the management of opiate and/or alcohol withdrawal. </w:t>
      </w:r>
    </w:p>
    <w:p w:rsidR="00D668C8" w:rsidRPr="00B3179F" w:rsidRDefault="001A24B8" w:rsidP="00D668C8">
      <w:pPr>
        <w:rPr>
          <w:rFonts w:cstheme="minorHAnsi"/>
          <w:sz w:val="16"/>
          <w:szCs w:val="16"/>
        </w:rPr>
      </w:pPr>
      <w:r w:rsidRPr="0065052D">
        <w:rPr>
          <w:rFonts w:cstheme="minorHAnsi"/>
          <w:sz w:val="16"/>
          <w:szCs w:val="16"/>
        </w:rPr>
        <w:t>Morphine can increase the bioavailability of gabapentin. Caution is needed when these drugs are co-prescribed and the doses of both drugs may need to be modified. Similarly, pregabalin appears to be additive in the impairment of cognitive and gross motor function caused by oxycodone.</w:t>
      </w:r>
    </w:p>
    <w:p w:rsidR="0065052D" w:rsidRDefault="0065052D" w:rsidP="00D668C8"/>
    <w:sectPr w:rsidR="006505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2D" w:rsidRDefault="0065052D" w:rsidP="0065052D">
      <w:pPr>
        <w:spacing w:after="0" w:line="240" w:lineRule="auto"/>
      </w:pPr>
      <w:r>
        <w:separator/>
      </w:r>
    </w:p>
  </w:endnote>
  <w:endnote w:type="continuationSeparator" w:id="0">
    <w:p w:rsidR="0065052D" w:rsidRDefault="0065052D" w:rsidP="0065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60680"/>
      <w:docPartObj>
        <w:docPartGallery w:val="Page Numbers (Bottom of Page)"/>
        <w:docPartUnique/>
      </w:docPartObj>
    </w:sdtPr>
    <w:sdtEndPr>
      <w:rPr>
        <w:noProof/>
      </w:rPr>
    </w:sdtEndPr>
    <w:sdtContent>
      <w:p w:rsidR="00B65961" w:rsidRDefault="00B65961">
        <w:pPr>
          <w:pStyle w:val="Footer"/>
          <w:jc w:val="right"/>
        </w:pPr>
        <w:r>
          <w:fldChar w:fldCharType="begin"/>
        </w:r>
        <w:r>
          <w:instrText xml:space="preserve"> PAGE   \* MERGEFORMAT </w:instrText>
        </w:r>
        <w:r>
          <w:fldChar w:fldCharType="separate"/>
        </w:r>
        <w:r w:rsidR="00B3179F">
          <w:rPr>
            <w:noProof/>
          </w:rPr>
          <w:t>2</w:t>
        </w:r>
        <w:r>
          <w:rPr>
            <w:noProof/>
          </w:rPr>
          <w:fldChar w:fldCharType="end"/>
        </w:r>
      </w:p>
    </w:sdtContent>
  </w:sdt>
  <w:p w:rsidR="00B65961" w:rsidRDefault="00B3179F" w:rsidP="00B3179F">
    <w:pPr>
      <w:pStyle w:val="Footer"/>
    </w:pPr>
    <w:bookmarkStart w:id="0" w:name="_GoBack"/>
    <w:bookmarkEnd w:id="0"/>
    <w:r w:rsidRPr="00B3179F">
      <w:t xml:space="preserve"> </w:t>
    </w:r>
    <w:hyperlink r:id="rId1" w:history="1">
      <w:r w:rsidRPr="006F6A44">
        <w:rPr>
          <w:rStyle w:val="Hyperlink"/>
        </w:rPr>
        <w:t>england.ea-cdao@nhs.net</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2D" w:rsidRDefault="0065052D" w:rsidP="0065052D">
      <w:pPr>
        <w:spacing w:after="0" w:line="240" w:lineRule="auto"/>
      </w:pPr>
      <w:r>
        <w:separator/>
      </w:r>
    </w:p>
  </w:footnote>
  <w:footnote w:type="continuationSeparator" w:id="0">
    <w:p w:rsidR="0065052D" w:rsidRDefault="0065052D" w:rsidP="00650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2D" w:rsidRDefault="0065052D" w:rsidP="0065052D">
    <w:r>
      <w:t xml:space="preserve">Feedback template to request review of medicines: </w:t>
    </w:r>
  </w:p>
  <w:p w:rsidR="0065052D" w:rsidRDefault="00650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28" w:rsidRDefault="00C73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11AB"/>
    <w:multiLevelType w:val="hybridMultilevel"/>
    <w:tmpl w:val="6CD6B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A21040"/>
    <w:multiLevelType w:val="hybridMultilevel"/>
    <w:tmpl w:val="4AF4E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17"/>
    <w:rsid w:val="001A24B8"/>
    <w:rsid w:val="00224C98"/>
    <w:rsid w:val="00426417"/>
    <w:rsid w:val="004E26DE"/>
    <w:rsid w:val="005271AD"/>
    <w:rsid w:val="005847C6"/>
    <w:rsid w:val="0065052D"/>
    <w:rsid w:val="00881196"/>
    <w:rsid w:val="009C57E9"/>
    <w:rsid w:val="00B3179F"/>
    <w:rsid w:val="00B65961"/>
    <w:rsid w:val="00C73028"/>
    <w:rsid w:val="00CC364D"/>
    <w:rsid w:val="00D668C8"/>
    <w:rsid w:val="00FC223A"/>
    <w:rsid w:val="00FD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7C6"/>
    <w:pPr>
      <w:ind w:left="720"/>
      <w:contextualSpacing/>
    </w:pPr>
  </w:style>
  <w:style w:type="paragraph" w:styleId="BalloonText">
    <w:name w:val="Balloon Text"/>
    <w:basedOn w:val="Normal"/>
    <w:link w:val="BalloonTextChar"/>
    <w:uiPriority w:val="99"/>
    <w:semiHidden/>
    <w:unhideWhenUsed/>
    <w:rsid w:val="001A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4B8"/>
    <w:rPr>
      <w:rFonts w:ascii="Tahoma" w:hAnsi="Tahoma" w:cs="Tahoma"/>
      <w:sz w:val="16"/>
      <w:szCs w:val="16"/>
    </w:rPr>
  </w:style>
  <w:style w:type="character" w:styleId="Hyperlink">
    <w:name w:val="Hyperlink"/>
    <w:basedOn w:val="DefaultParagraphFont"/>
    <w:uiPriority w:val="99"/>
    <w:unhideWhenUsed/>
    <w:rsid w:val="001A24B8"/>
    <w:rPr>
      <w:color w:val="0000FF" w:themeColor="hyperlink"/>
      <w:u w:val="single"/>
    </w:rPr>
  </w:style>
  <w:style w:type="paragraph" w:customStyle="1" w:styleId="Default">
    <w:name w:val="Default"/>
    <w:rsid w:val="001A24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50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2D"/>
  </w:style>
  <w:style w:type="paragraph" w:styleId="Footer">
    <w:name w:val="footer"/>
    <w:basedOn w:val="Normal"/>
    <w:link w:val="FooterChar"/>
    <w:uiPriority w:val="99"/>
    <w:unhideWhenUsed/>
    <w:rsid w:val="0065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2D"/>
  </w:style>
  <w:style w:type="paragraph" w:styleId="NoSpacing">
    <w:name w:val="No Spacing"/>
    <w:uiPriority w:val="1"/>
    <w:qFormat/>
    <w:rsid w:val="00FD0B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7C6"/>
    <w:pPr>
      <w:ind w:left="720"/>
      <w:contextualSpacing/>
    </w:pPr>
  </w:style>
  <w:style w:type="paragraph" w:styleId="BalloonText">
    <w:name w:val="Balloon Text"/>
    <w:basedOn w:val="Normal"/>
    <w:link w:val="BalloonTextChar"/>
    <w:uiPriority w:val="99"/>
    <w:semiHidden/>
    <w:unhideWhenUsed/>
    <w:rsid w:val="001A2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4B8"/>
    <w:rPr>
      <w:rFonts w:ascii="Tahoma" w:hAnsi="Tahoma" w:cs="Tahoma"/>
      <w:sz w:val="16"/>
      <w:szCs w:val="16"/>
    </w:rPr>
  </w:style>
  <w:style w:type="character" w:styleId="Hyperlink">
    <w:name w:val="Hyperlink"/>
    <w:basedOn w:val="DefaultParagraphFont"/>
    <w:uiPriority w:val="99"/>
    <w:unhideWhenUsed/>
    <w:rsid w:val="001A24B8"/>
    <w:rPr>
      <w:color w:val="0000FF" w:themeColor="hyperlink"/>
      <w:u w:val="single"/>
    </w:rPr>
  </w:style>
  <w:style w:type="paragraph" w:customStyle="1" w:styleId="Default">
    <w:name w:val="Default"/>
    <w:rsid w:val="001A24B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50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52D"/>
  </w:style>
  <w:style w:type="paragraph" w:styleId="Footer">
    <w:name w:val="footer"/>
    <w:basedOn w:val="Normal"/>
    <w:link w:val="FooterChar"/>
    <w:uiPriority w:val="99"/>
    <w:unhideWhenUsed/>
    <w:rsid w:val="00650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52D"/>
  </w:style>
  <w:style w:type="paragraph" w:styleId="NoSpacing">
    <w:name w:val="No Spacing"/>
    <w:uiPriority w:val="1"/>
    <w:qFormat/>
    <w:rsid w:val="00FD0B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oa.ac.uk/faculty-of-pain-medicine/opioids-aware"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uploads/system/uploads/attachment_data/file/385791/PHE-NHS_England_pregabalin_and_gabapentin_advice_Dec_2014.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ngland.ea-cda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Rann</dc:creator>
  <cp:lastModifiedBy>Jackie Campbell</cp:lastModifiedBy>
  <cp:revision>2</cp:revision>
  <dcterms:created xsi:type="dcterms:W3CDTF">2018-01-10T16:22:00Z</dcterms:created>
  <dcterms:modified xsi:type="dcterms:W3CDTF">2018-01-10T16:22:00Z</dcterms:modified>
</cp:coreProperties>
</file>