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4C" w:rsidRPr="00E32911" w:rsidRDefault="00FD3C4C" w:rsidP="00FD3C4C">
      <w:pPr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>Fentanyl patches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979"/>
        <w:gridCol w:w="10078"/>
      </w:tblGrid>
      <w:tr w:rsidR="00FD3C4C" w:rsidTr="0070225B">
        <w:tc>
          <w:tcPr>
            <w:tcW w:w="979" w:type="dxa"/>
          </w:tcPr>
          <w:p w:rsidR="00FD3C4C" w:rsidRDefault="00FD3C4C" w:rsidP="0070225B">
            <w:r>
              <w:t>Bottom line</w:t>
            </w:r>
          </w:p>
        </w:tc>
        <w:tc>
          <w:tcPr>
            <w:tcW w:w="10078" w:type="dxa"/>
          </w:tcPr>
          <w:p w:rsidR="00FD3C4C" w:rsidRDefault="00FD3C4C" w:rsidP="0070225B">
            <w:pPr>
              <w:rPr>
                <w:b/>
                <w:u w:val="single"/>
              </w:rPr>
            </w:pPr>
            <w:r w:rsidRPr="00F32D98">
              <w:rPr>
                <w:b/>
                <w:u w:val="single"/>
              </w:rPr>
              <w:t>NB the following relates to chronic pain</w:t>
            </w:r>
            <w:r w:rsidRPr="00F32D98">
              <w:rPr>
                <w:b/>
                <w:i/>
                <w:u w:val="single"/>
              </w:rPr>
              <w:t>, not</w:t>
            </w:r>
            <w:r w:rsidRPr="00F32D98">
              <w:rPr>
                <w:u w:val="single"/>
              </w:rPr>
              <w:t xml:space="preserve"> </w:t>
            </w:r>
            <w:r w:rsidRPr="00F32D98">
              <w:rPr>
                <w:b/>
                <w:u w:val="single"/>
              </w:rPr>
              <w:t xml:space="preserve">acute or end of life care </w:t>
            </w:r>
          </w:p>
          <w:p w:rsidR="00FD3C4C" w:rsidRDefault="00FD3C4C" w:rsidP="0070225B">
            <w:r>
              <w:t>Fentanyl patches are: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3"/>
              </w:numPr>
            </w:pPr>
            <w:r>
              <w:t>Limited in effectiveness for the management of chronic pain (1)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3"/>
              </w:numPr>
            </w:pPr>
            <w:r>
              <w:t>Hazardous (2)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3"/>
              </w:numPr>
            </w:pPr>
            <w:r>
              <w:t>Expensive (3)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3"/>
              </w:numPr>
            </w:pPr>
            <w:r w:rsidRPr="00A25AD9">
              <w:t>Not to be used in opioid naïve patients</w:t>
            </w:r>
          </w:p>
        </w:tc>
      </w:tr>
      <w:tr w:rsidR="00FD3C4C" w:rsidTr="0070225B">
        <w:tc>
          <w:tcPr>
            <w:tcW w:w="979" w:type="dxa"/>
          </w:tcPr>
          <w:p w:rsidR="00FD3C4C" w:rsidRDefault="00FD3C4C" w:rsidP="0070225B">
            <w:r>
              <w:t xml:space="preserve">Make it happen </w:t>
            </w:r>
          </w:p>
        </w:tc>
        <w:tc>
          <w:tcPr>
            <w:tcW w:w="10078" w:type="dxa"/>
          </w:tcPr>
          <w:p w:rsidR="00FD3C4C" w:rsidRDefault="00FD3C4C" w:rsidP="0070225B">
            <w:r>
              <w:t>Look for: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4"/>
              </w:numPr>
            </w:pPr>
            <w:r>
              <w:t xml:space="preserve">Use in non cancer pain – may not be effective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 xml:space="preserve">Has no place in acute or unstable pain- not licensed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>Prescribing where there is other chronic disease, e.g. respiratory disease, depression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4"/>
              </w:numPr>
            </w:pPr>
            <w:r>
              <w:t xml:space="preserve">Elderly, frail, ill, co morbidities- very powerful opiate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>Other drugs prescribed – other opiates, sedatives, benzos, Z drugs, other drugs that interact to increase levels (e.g. clarithromycin) or decrease levels (e.g. carbamazapine)  - check current BNF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 xml:space="preserve">Evidence of misuse or overuse; reduce/stop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 xml:space="preserve">Great care where there is drug/alcohol history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2"/>
              </w:numPr>
            </w:pPr>
            <w:r>
              <w:t xml:space="preserve">Evidence of diversion – stop 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4"/>
              </w:numPr>
            </w:pPr>
            <w:r>
              <w:t>Remember to ask about driving; it is the patient’s duty not to drive under the influence of drugs. Patients must report high use to DVLA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4"/>
              </w:numPr>
            </w:pPr>
            <w:r>
              <w:t>How they are being used? – Changed every 3 days? Disposal? A</w:t>
            </w:r>
            <w:r w:rsidRPr="00455A30">
              <w:t>bsorption</w:t>
            </w:r>
            <w:r>
              <w:t xml:space="preserve"> varies</w:t>
            </w:r>
            <w:r w:rsidRPr="00455A30">
              <w:t xml:space="preserve">. </w:t>
            </w:r>
          </w:p>
        </w:tc>
      </w:tr>
      <w:tr w:rsidR="00FD3C4C" w:rsidTr="0070225B">
        <w:tc>
          <w:tcPr>
            <w:tcW w:w="979" w:type="dxa"/>
          </w:tcPr>
          <w:p w:rsidR="00FD3C4C" w:rsidRDefault="00FD3C4C" w:rsidP="0070225B">
            <w:r>
              <w:t>The detail</w:t>
            </w:r>
          </w:p>
        </w:tc>
        <w:tc>
          <w:tcPr>
            <w:tcW w:w="10078" w:type="dxa"/>
          </w:tcPr>
          <w:p w:rsidR="00FD3C4C" w:rsidRPr="00877572" w:rsidRDefault="00FD3C4C" w:rsidP="00FD3C4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t xml:space="preserve">All opiates are of limited effectiveness in the management of chronic pain: </w:t>
            </w:r>
            <w:r w:rsidRPr="00F32D98">
              <w:rPr>
                <w:lang w:val="en-US"/>
              </w:rPr>
              <w:t xml:space="preserve">Opiates </w:t>
            </w:r>
            <w:r>
              <w:rPr>
                <w:lang w:val="en-US"/>
              </w:rPr>
              <w:t>are very effective</w:t>
            </w:r>
            <w:r w:rsidRPr="00F32D98">
              <w:rPr>
                <w:lang w:val="en-US"/>
              </w:rPr>
              <w:t xml:space="preserve"> for end of life care pain, </w:t>
            </w:r>
            <w:r>
              <w:rPr>
                <w:lang w:val="en-US"/>
              </w:rPr>
              <w:t xml:space="preserve">there is </w:t>
            </w:r>
            <w:r>
              <w:rPr>
                <w:u w:val="single"/>
                <w:lang w:val="en-US"/>
              </w:rPr>
              <w:t>little</w:t>
            </w:r>
            <w:r w:rsidRPr="00F32D98">
              <w:rPr>
                <w:u w:val="single"/>
                <w:lang w:val="en-US"/>
              </w:rPr>
              <w:t xml:space="preserve"> evidence they are helpful for long term</w:t>
            </w:r>
            <w:r>
              <w:rPr>
                <w:u w:val="single"/>
                <w:lang w:val="en-US"/>
              </w:rPr>
              <w:t>, chronic,</w:t>
            </w:r>
            <w:r w:rsidRPr="00F32D98">
              <w:rPr>
                <w:u w:val="single"/>
                <w:lang w:val="en-US"/>
              </w:rPr>
              <w:t xml:space="preserve"> pain</w:t>
            </w:r>
            <w:r w:rsidRPr="00A25AD9">
              <w:rPr>
                <w:lang w:val="en-US"/>
              </w:rPr>
              <w:t xml:space="preserve">. </w:t>
            </w:r>
            <w:r w:rsidR="00A25AD9" w:rsidRPr="00A25AD9">
              <w:rPr>
                <w:lang w:val="en-US"/>
              </w:rPr>
              <w:t xml:space="preserve"> </w:t>
            </w:r>
            <w:r w:rsidRPr="00877572">
              <w:rPr>
                <w:lang w:val="en-US"/>
              </w:rPr>
              <w:t>Only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877572">
              <w:rPr>
                <w:lang w:val="en-US"/>
              </w:rPr>
              <w:t xml:space="preserve"> small proportion of people with long term pain will benefit f</w:t>
            </w:r>
            <w:r>
              <w:rPr>
                <w:lang w:val="en-US"/>
              </w:rPr>
              <w:t>rom opiates</w:t>
            </w:r>
            <w:r w:rsidRPr="00877572">
              <w:rPr>
                <w:lang w:val="en-US"/>
              </w:rPr>
              <w:t xml:space="preserve">. </w:t>
            </w:r>
          </w:p>
          <w:p w:rsidR="00FD3C4C" w:rsidRDefault="00FD3C4C" w:rsidP="0070225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Risk of harm in</w:t>
            </w:r>
            <w:r w:rsidRPr="00F32D98">
              <w:rPr>
                <w:lang w:val="en-US"/>
              </w:rPr>
              <w:t>creases beyond</w:t>
            </w:r>
            <w:r>
              <w:rPr>
                <w:lang w:val="en-US"/>
              </w:rPr>
              <w:t xml:space="preserve"> a morphine equivalent dose of 120mg per day</w:t>
            </w:r>
            <w:r w:rsidRPr="00F32D98">
              <w:rPr>
                <w:lang w:val="en-US"/>
              </w:rPr>
              <w:t>, but no increas</w:t>
            </w:r>
            <w:r>
              <w:rPr>
                <w:lang w:val="en-US"/>
              </w:rPr>
              <w:t xml:space="preserve">e in benefit. </w:t>
            </w:r>
            <w:r w:rsidRPr="00F32D98">
              <w:rPr>
                <w:lang w:val="en-US"/>
              </w:rPr>
              <w:t>If the patient is using opiates and not benefitting, they should be stopped, even if there are no alternatives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E4742">
              <w:rPr>
                <w:lang w:val="en-US"/>
              </w:rPr>
              <w:t xml:space="preserve">Hazards: Fentanyl patches are very potent, to calculate </w:t>
            </w:r>
            <w:r w:rsidR="0057089F">
              <w:rPr>
                <w:lang w:val="en-US"/>
              </w:rPr>
              <w:t xml:space="preserve">approximate </w:t>
            </w:r>
            <w:r w:rsidRPr="00AE4742">
              <w:rPr>
                <w:lang w:val="en-US"/>
              </w:rPr>
              <w:t>morph</w:t>
            </w:r>
            <w:r>
              <w:rPr>
                <w:lang w:val="en-US"/>
              </w:rPr>
              <w:t xml:space="preserve">ine equivalent, multiply by </w:t>
            </w:r>
            <w:proofErr w:type="gramStart"/>
            <w:r>
              <w:rPr>
                <w:lang w:val="en-US"/>
              </w:rPr>
              <w:t>3x</w:t>
            </w:r>
            <w:proofErr w:type="gramEnd"/>
            <w:r w:rsidR="00A25AD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Note this is approximate and advice in BNF and from British pain society varies (multiply by 3.5 and 2.5 respecti</w:t>
            </w:r>
            <w:r w:rsidR="0057089F">
              <w:rPr>
                <w:lang w:val="en-US"/>
              </w:rPr>
              <w:t>vely)</w:t>
            </w:r>
            <w:r w:rsidR="00A25AD9">
              <w:rPr>
                <w:lang w:val="en-US"/>
              </w:rPr>
              <w:t>.  For F</w:t>
            </w:r>
            <w:r w:rsidR="0057089F">
              <w:rPr>
                <w:lang w:val="en-US"/>
              </w:rPr>
              <w:t>entanyl patches,</w:t>
            </w:r>
            <w:r>
              <w:rPr>
                <w:lang w:val="en-US"/>
              </w:rPr>
              <w:t xml:space="preserve"> 120mg per day morphine equivalent will be exceeded by the use of Fentan</w:t>
            </w:r>
            <w:r w:rsidR="00A25AD9">
              <w:rPr>
                <w:lang w:val="en-US"/>
              </w:rPr>
              <w:t>yl 37.5micrograms per hour patc</w:t>
            </w:r>
            <w:r w:rsidR="005836ED">
              <w:rPr>
                <w:lang w:val="en-US"/>
              </w:rPr>
              <w:t>h</w:t>
            </w:r>
            <w:r w:rsidR="00A25AD9">
              <w:rPr>
                <w:lang w:val="en-US"/>
              </w:rPr>
              <w:t>.</w:t>
            </w:r>
          </w:p>
          <w:p w:rsidR="00FD3C4C" w:rsidRPr="00AE4742" w:rsidRDefault="00FD3C4C" w:rsidP="0070225B">
            <w:pPr>
              <w:pStyle w:val="ListParagraph"/>
              <w:rPr>
                <w:lang w:val="en-US"/>
              </w:rPr>
            </w:pPr>
            <w:r w:rsidRPr="00AE4742">
              <w:rPr>
                <w:lang w:val="en-US"/>
              </w:rPr>
              <w:t>Extreme care required – accidental exposure (e.g. children); external heat sou</w:t>
            </w:r>
            <w:r>
              <w:rPr>
                <w:lang w:val="en-US"/>
              </w:rPr>
              <w:t>r</w:t>
            </w:r>
            <w:r w:rsidRPr="00AE4742">
              <w:rPr>
                <w:lang w:val="en-US"/>
              </w:rPr>
              <w:t>ce (sunbathing, hot water bottle); fever; different brands will abs</w:t>
            </w:r>
            <w:r>
              <w:rPr>
                <w:lang w:val="en-US"/>
              </w:rPr>
              <w:t>orb at different rates (</w:t>
            </w:r>
            <w:r w:rsidRPr="00AE4742">
              <w:rPr>
                <w:lang w:val="en-US"/>
              </w:rPr>
              <w:t>stick to the same formulation); toxicity in opiate naive patients; drug interactions; very long half life (extreme care with dose titration, switching</w:t>
            </w:r>
            <w:r>
              <w:rPr>
                <w:lang w:val="en-US"/>
              </w:rPr>
              <w:t xml:space="preserve"> opioids</w:t>
            </w:r>
            <w:r w:rsidRPr="00AE4742">
              <w:rPr>
                <w:lang w:val="en-US"/>
              </w:rPr>
              <w:t>, discontinuing)</w:t>
            </w:r>
            <w:r w:rsidR="00A25AD9">
              <w:rPr>
                <w:lang w:val="en-US"/>
              </w:rPr>
              <w:t>.</w:t>
            </w:r>
          </w:p>
          <w:p w:rsidR="00FD3C4C" w:rsidRDefault="00FD3C4C" w:rsidP="00FD3C4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Using dose equivalents advised by British Pain Society, 4 weeks Zomorph 90mg per day once a day costs approx. half of 4 weeks of 25micrograms per hour fentanyl or even more depending on brand chosen </w:t>
            </w:r>
          </w:p>
          <w:p w:rsidR="004B4218" w:rsidRDefault="005836ED" w:rsidP="00A25AD9">
            <w:pPr>
              <w:pStyle w:val="ListParagraph"/>
            </w:pPr>
            <w:r>
              <w:rPr>
                <w:lang w:val="en-US"/>
              </w:rPr>
              <w:t xml:space="preserve">Nationally, a </w:t>
            </w:r>
            <w:r w:rsidR="00FD3C4C">
              <w:rPr>
                <w:lang w:val="en-US"/>
              </w:rPr>
              <w:t>50% reduction in the prescribing of fentanyl patches with a switch to oral morphine would result in a £21 million saving per year, which equates to appr</w:t>
            </w:r>
            <w:r>
              <w:rPr>
                <w:lang w:val="en-US"/>
              </w:rPr>
              <w:t>ox £38,000 per 100,000 patients.</w:t>
            </w:r>
          </w:p>
        </w:tc>
      </w:tr>
      <w:tr w:rsidR="00FD3C4C" w:rsidTr="0070225B">
        <w:tc>
          <w:tcPr>
            <w:tcW w:w="979" w:type="dxa"/>
          </w:tcPr>
          <w:p w:rsidR="00FD3C4C" w:rsidRDefault="00FD3C4C" w:rsidP="0070225B">
            <w:r>
              <w:t xml:space="preserve"> Links </w:t>
            </w:r>
          </w:p>
        </w:tc>
        <w:tc>
          <w:tcPr>
            <w:tcW w:w="10078" w:type="dxa"/>
          </w:tcPr>
          <w:p w:rsidR="00FD3C4C" w:rsidRDefault="005836ED" w:rsidP="0070225B">
            <w:hyperlink r:id="rId8" w:history="1">
              <w:r w:rsidR="00FD3C4C" w:rsidRPr="00834239">
                <w:rPr>
                  <w:rStyle w:val="Hyperlink"/>
                </w:rPr>
                <w:t>https://www.prescqipp.info/resources/send/120-opioid-patches/1467-bulletin-80-opioid-patches</w:t>
              </w:r>
            </w:hyperlink>
          </w:p>
          <w:p w:rsidR="00FD3C4C" w:rsidRDefault="005836ED" w:rsidP="0070225B">
            <w:pPr>
              <w:rPr>
                <w:rStyle w:val="Hyperlink"/>
              </w:rPr>
            </w:pPr>
            <w:hyperlink r:id="rId9" w:history="1">
              <w:r w:rsidR="00FD3C4C" w:rsidRPr="00834239">
                <w:rPr>
                  <w:rStyle w:val="Hyperlink"/>
                </w:rPr>
                <w:t>https://www.fpm.ac.uk/faculty-of-pain-medicine/opioids-aware</w:t>
              </w:r>
            </w:hyperlink>
          </w:p>
          <w:p w:rsidR="00FD3C4C" w:rsidRDefault="005836ED" w:rsidP="0070225B">
            <w:hyperlink r:id="rId10" w:history="1">
              <w:r w:rsidR="00FD3C4C" w:rsidRPr="002611A7">
                <w:rPr>
                  <w:rStyle w:val="Hyperlink"/>
                </w:rPr>
                <w:t>https://www.gov.uk/drug-safety-update/serious-and-fatal-overdose-of-fentanyl-patches</w:t>
              </w:r>
            </w:hyperlink>
          </w:p>
          <w:p w:rsidR="00FD3C4C" w:rsidRPr="00874EAA" w:rsidRDefault="005836ED" w:rsidP="0070225B">
            <w:hyperlink r:id="rId11" w:history="1">
              <w:r w:rsidR="00FD3C4C" w:rsidRPr="00BB2FE7">
                <w:rPr>
                  <w:rStyle w:val="Hyperlink"/>
                </w:rPr>
                <w:t>https://www.gov.uk/drug-safety-update/transdermal-fentanyl-patches-reminder-of-potential-for-life-threatening-harm-from-accidental-exposure-particularly-in-children</w:t>
              </w:r>
            </w:hyperlink>
            <w:r w:rsidR="00FD3C4C">
              <w:t xml:space="preserve"> </w:t>
            </w:r>
          </w:p>
        </w:tc>
      </w:tr>
      <w:tr w:rsidR="00FD3C4C" w:rsidTr="0070225B">
        <w:tc>
          <w:tcPr>
            <w:tcW w:w="979" w:type="dxa"/>
          </w:tcPr>
          <w:p w:rsidR="00FD3C4C" w:rsidRDefault="00FD3C4C" w:rsidP="0070225B">
            <w:r>
              <w:t xml:space="preserve">Author </w:t>
            </w:r>
          </w:p>
        </w:tc>
        <w:tc>
          <w:tcPr>
            <w:tcW w:w="10078" w:type="dxa"/>
          </w:tcPr>
          <w:p w:rsidR="00FD3C4C" w:rsidRDefault="00FD3C4C" w:rsidP="0070225B">
            <w:r>
              <w:t>Ruth Bastable</w:t>
            </w:r>
          </w:p>
        </w:tc>
      </w:tr>
      <w:tr w:rsidR="00FD3C4C" w:rsidTr="0070225B">
        <w:tc>
          <w:tcPr>
            <w:tcW w:w="979" w:type="dxa"/>
          </w:tcPr>
          <w:p w:rsidR="00FD3C4C" w:rsidRDefault="00FD3C4C" w:rsidP="0070225B">
            <w:r>
              <w:t xml:space="preserve">Date </w:t>
            </w:r>
          </w:p>
        </w:tc>
        <w:tc>
          <w:tcPr>
            <w:tcW w:w="10078" w:type="dxa"/>
          </w:tcPr>
          <w:p w:rsidR="00FD3C4C" w:rsidRDefault="005836ED" w:rsidP="0070225B">
            <w:r>
              <w:t>January</w:t>
            </w:r>
            <w:bookmarkStart w:id="0" w:name="_GoBack"/>
            <w:bookmarkEnd w:id="0"/>
            <w:r>
              <w:t xml:space="preserve"> 2018</w:t>
            </w:r>
          </w:p>
        </w:tc>
      </w:tr>
    </w:tbl>
    <w:p w:rsidR="00FD3C4C" w:rsidRDefault="00FD3C4C" w:rsidP="00FD3C4C"/>
    <w:p w:rsidR="00FD3C4C" w:rsidRDefault="00FD3C4C" w:rsidP="00FD3C4C"/>
    <w:p w:rsidR="00F804D3" w:rsidRDefault="00F804D3"/>
    <w:sectPr w:rsidR="00F804D3" w:rsidSect="00701BA9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4F" w:rsidRDefault="0026044F" w:rsidP="004B1FF6">
      <w:pPr>
        <w:spacing w:after="0" w:line="240" w:lineRule="auto"/>
      </w:pPr>
      <w:r>
        <w:separator/>
      </w:r>
    </w:p>
  </w:endnote>
  <w:endnote w:type="continuationSeparator" w:id="0">
    <w:p w:rsidR="0026044F" w:rsidRDefault="0026044F" w:rsidP="004B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4F" w:rsidRDefault="0026044F" w:rsidP="004B1FF6">
      <w:pPr>
        <w:spacing w:after="0" w:line="240" w:lineRule="auto"/>
      </w:pPr>
      <w:r>
        <w:separator/>
      </w:r>
    </w:p>
  </w:footnote>
  <w:footnote w:type="continuationSeparator" w:id="0">
    <w:p w:rsidR="0026044F" w:rsidRDefault="0026044F" w:rsidP="004B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DF" w:rsidRPr="00370421" w:rsidRDefault="00FD3C4C" w:rsidP="008B4BDF">
    <w:pPr>
      <w:pStyle w:val="Header"/>
      <w:jc w:val="center"/>
      <w:rPr>
        <w:rFonts w:asciiTheme="majorHAnsi" w:hAnsiTheme="majorHAnsi"/>
        <w:b/>
        <w:i/>
        <w:sz w:val="32"/>
        <w:szCs w:val="40"/>
        <w:u w:val="single"/>
      </w:rPr>
    </w:pPr>
    <w:r w:rsidRPr="00370421">
      <w:rPr>
        <w:rFonts w:asciiTheme="majorHAnsi" w:hAnsiTheme="majorHAnsi"/>
        <w:b/>
        <w:i/>
        <w:sz w:val="32"/>
        <w:szCs w:val="40"/>
        <w:u w:val="single"/>
      </w:rPr>
      <w:t xml:space="preserve">KISS </w:t>
    </w:r>
  </w:p>
  <w:p w:rsidR="008B4BDF" w:rsidRPr="00370421" w:rsidRDefault="00FD3C4C" w:rsidP="008B4BDF">
    <w:pPr>
      <w:pStyle w:val="Header"/>
      <w:jc w:val="center"/>
      <w:rPr>
        <w:rFonts w:asciiTheme="majorHAnsi" w:hAnsiTheme="majorHAnsi"/>
        <w:b/>
        <w:i/>
        <w:sz w:val="20"/>
        <w:u w:val="single"/>
      </w:rPr>
    </w:pPr>
    <w:r w:rsidRPr="00370421">
      <w:rPr>
        <w:rFonts w:asciiTheme="majorHAnsi" w:hAnsiTheme="majorHAnsi"/>
        <w:b/>
        <w:i/>
        <w:sz w:val="20"/>
        <w:szCs w:val="40"/>
        <w:u w:val="single"/>
      </w:rPr>
      <w:t>Keep It Simple and Straightforward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6A"/>
    <w:multiLevelType w:val="hybridMultilevel"/>
    <w:tmpl w:val="AAE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2292"/>
    <w:multiLevelType w:val="hybridMultilevel"/>
    <w:tmpl w:val="F7D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4037"/>
    <w:multiLevelType w:val="hybridMultilevel"/>
    <w:tmpl w:val="96B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60077"/>
    <w:multiLevelType w:val="hybridMultilevel"/>
    <w:tmpl w:val="562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4C"/>
    <w:rsid w:val="0026044F"/>
    <w:rsid w:val="004B1FF6"/>
    <w:rsid w:val="004B4218"/>
    <w:rsid w:val="0057089F"/>
    <w:rsid w:val="005836ED"/>
    <w:rsid w:val="00A25AD9"/>
    <w:rsid w:val="00F317F1"/>
    <w:rsid w:val="00F804D3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4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C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C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C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4C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4C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4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C4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C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C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4C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4C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cqipp.info/resources/send/120-opioid-patches/1467-bulletin-80-opioid-patch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drug-safety-update/transdermal-fentanyl-patches-reminder-of-potential-for-life-threatening-harm-from-accidental-exposure-particularly-in-childr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drug-safety-update/serious-and-fatal-overdose-of-fentanyl-patch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ac.uk/faculty-of-pain-medicine/opioids-aw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Jackie Campbell</cp:lastModifiedBy>
  <cp:revision>3</cp:revision>
  <dcterms:created xsi:type="dcterms:W3CDTF">2018-01-10T10:43:00Z</dcterms:created>
  <dcterms:modified xsi:type="dcterms:W3CDTF">2018-01-10T12:28:00Z</dcterms:modified>
</cp:coreProperties>
</file>