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4AD" w:rsidRPr="00B84E23" w:rsidRDefault="006824AD" w:rsidP="006824AD">
      <w:pPr>
        <w:jc w:val="center"/>
        <w:rPr>
          <w:color w:val="FF0000"/>
          <w:sz w:val="40"/>
          <w:szCs w:val="40"/>
        </w:rPr>
      </w:pPr>
      <w:r>
        <w:rPr>
          <w:sz w:val="40"/>
          <w:szCs w:val="40"/>
        </w:rPr>
        <w:t>Oxycodone for chronic pain</w:t>
      </w:r>
    </w:p>
    <w:tbl>
      <w:tblPr>
        <w:tblStyle w:val="TableGrid"/>
        <w:tblW w:w="11057" w:type="dxa"/>
        <w:tblInd w:w="-601" w:type="dxa"/>
        <w:tblLook w:val="04A0" w:firstRow="1" w:lastRow="0" w:firstColumn="1" w:lastColumn="0" w:noHBand="0" w:noVBand="1"/>
      </w:tblPr>
      <w:tblGrid>
        <w:gridCol w:w="1418"/>
        <w:gridCol w:w="9639"/>
      </w:tblGrid>
      <w:tr w:rsidR="006824AD" w:rsidTr="00897405">
        <w:tc>
          <w:tcPr>
            <w:tcW w:w="1418" w:type="dxa"/>
          </w:tcPr>
          <w:p w:rsidR="006824AD" w:rsidRDefault="006824AD" w:rsidP="00897405">
            <w:r>
              <w:t>Bottom line</w:t>
            </w:r>
          </w:p>
        </w:tc>
        <w:tc>
          <w:tcPr>
            <w:tcW w:w="9639" w:type="dxa"/>
          </w:tcPr>
          <w:p w:rsidR="00F32D98" w:rsidRPr="00F32D98" w:rsidRDefault="00F32D98" w:rsidP="00897405">
            <w:pPr>
              <w:rPr>
                <w:b/>
                <w:u w:val="single"/>
              </w:rPr>
            </w:pPr>
            <w:r w:rsidRPr="00F32D98">
              <w:rPr>
                <w:b/>
                <w:u w:val="single"/>
              </w:rPr>
              <w:t>NB the following relates to chronic pain</w:t>
            </w:r>
            <w:r w:rsidRPr="00F32D98">
              <w:rPr>
                <w:b/>
                <w:i/>
                <w:u w:val="single"/>
              </w:rPr>
              <w:t>, not</w:t>
            </w:r>
            <w:r w:rsidRPr="00F32D98">
              <w:rPr>
                <w:u w:val="single"/>
              </w:rPr>
              <w:t xml:space="preserve"> </w:t>
            </w:r>
            <w:r w:rsidRPr="00F32D98">
              <w:rPr>
                <w:b/>
                <w:u w:val="single"/>
              </w:rPr>
              <w:t xml:space="preserve">acute or end of life care </w:t>
            </w:r>
          </w:p>
          <w:p w:rsidR="006824AD" w:rsidRDefault="006824AD" w:rsidP="00897405">
            <w:r>
              <w:t>Oxycodone is:</w:t>
            </w:r>
          </w:p>
          <w:p w:rsidR="006824AD" w:rsidRDefault="006824AD" w:rsidP="006824AD">
            <w:pPr>
              <w:pStyle w:val="ListParagraph"/>
              <w:numPr>
                <w:ilvl w:val="0"/>
                <w:numId w:val="4"/>
              </w:numPr>
            </w:pPr>
            <w:r>
              <w:t>Limited in its effectiveness for th</w:t>
            </w:r>
            <w:r w:rsidR="00F505E4">
              <w:t>e management of chronic pain (1)</w:t>
            </w:r>
          </w:p>
          <w:p w:rsidR="00F505E4" w:rsidRDefault="00F505E4" w:rsidP="00F505E4">
            <w:pPr>
              <w:pStyle w:val="ListParagraph"/>
              <w:numPr>
                <w:ilvl w:val="0"/>
                <w:numId w:val="1"/>
              </w:numPr>
            </w:pPr>
            <w:r>
              <w:t>Hazardous (2)</w:t>
            </w:r>
          </w:p>
          <w:p w:rsidR="006824AD" w:rsidRDefault="00F505E4" w:rsidP="006824AD">
            <w:pPr>
              <w:pStyle w:val="ListParagraph"/>
              <w:numPr>
                <w:ilvl w:val="0"/>
                <w:numId w:val="4"/>
              </w:numPr>
            </w:pPr>
            <w:r>
              <w:t>Expensive (3</w:t>
            </w:r>
            <w:r w:rsidR="006824AD">
              <w:t>)</w:t>
            </w:r>
          </w:p>
          <w:p w:rsidR="006824AD" w:rsidRDefault="006824AD" w:rsidP="006824AD">
            <w:pPr>
              <w:pStyle w:val="ListParagraph"/>
              <w:numPr>
                <w:ilvl w:val="0"/>
                <w:numId w:val="1"/>
              </w:numPr>
            </w:pPr>
            <w:r>
              <w:t xml:space="preserve">No better than morphine </w:t>
            </w:r>
            <w:r w:rsidR="00FD6CFA">
              <w:t>(4)</w:t>
            </w:r>
          </w:p>
        </w:tc>
      </w:tr>
      <w:tr w:rsidR="006824AD" w:rsidTr="00897405">
        <w:tc>
          <w:tcPr>
            <w:tcW w:w="1418" w:type="dxa"/>
          </w:tcPr>
          <w:p w:rsidR="006824AD" w:rsidRDefault="006824AD" w:rsidP="00897405">
            <w:r>
              <w:t xml:space="preserve">Make it happen </w:t>
            </w:r>
          </w:p>
        </w:tc>
        <w:tc>
          <w:tcPr>
            <w:tcW w:w="9639" w:type="dxa"/>
          </w:tcPr>
          <w:p w:rsidR="006824AD" w:rsidRDefault="006824AD" w:rsidP="00897405">
            <w:r>
              <w:t>Look for:</w:t>
            </w:r>
          </w:p>
          <w:p w:rsidR="006824AD" w:rsidRDefault="00F32D98" w:rsidP="006824AD">
            <w:pPr>
              <w:pStyle w:val="ListParagraph"/>
              <w:numPr>
                <w:ilvl w:val="0"/>
                <w:numId w:val="3"/>
              </w:numPr>
            </w:pPr>
            <w:r>
              <w:t>Use of oxycodone in chronic pain</w:t>
            </w:r>
            <w:r w:rsidR="00894A35">
              <w:t>.</w:t>
            </w:r>
          </w:p>
          <w:p w:rsidR="00F32D98" w:rsidRDefault="00F32D98" w:rsidP="006824AD">
            <w:pPr>
              <w:pStyle w:val="ListParagraph"/>
              <w:numPr>
                <w:ilvl w:val="0"/>
                <w:numId w:val="3"/>
              </w:numPr>
            </w:pPr>
            <w:r>
              <w:t xml:space="preserve">Dose greater than oxycodone </w:t>
            </w:r>
            <w:r w:rsidR="00877572">
              <w:t>modified release 30</w:t>
            </w:r>
            <w:r>
              <w:t xml:space="preserve">mg bd </w:t>
            </w:r>
            <w:r w:rsidR="00877572">
              <w:t>(which will be a morphine equivalent of 120mg per day and the usual maximum dose for chronic pain)</w:t>
            </w:r>
            <w:r w:rsidR="00894A35">
              <w:t>.</w:t>
            </w:r>
          </w:p>
          <w:p w:rsidR="00252488" w:rsidRDefault="00252488" w:rsidP="006824AD">
            <w:pPr>
              <w:pStyle w:val="ListParagraph"/>
              <w:numPr>
                <w:ilvl w:val="0"/>
                <w:numId w:val="3"/>
              </w:numPr>
            </w:pPr>
            <w:r>
              <w:t xml:space="preserve">Review patients on oxycodone for chronic pain, if it is not effective, stop it. </w:t>
            </w:r>
          </w:p>
          <w:p w:rsidR="00252488" w:rsidRDefault="00252488" w:rsidP="006824AD">
            <w:pPr>
              <w:pStyle w:val="ListParagraph"/>
              <w:numPr>
                <w:ilvl w:val="0"/>
                <w:numId w:val="3"/>
              </w:numPr>
            </w:pPr>
            <w:r>
              <w:t xml:space="preserve">If it is not safe, review, ensure patient safety. </w:t>
            </w:r>
            <w:r w:rsidR="00894A35">
              <w:t xml:space="preserve"> </w:t>
            </w:r>
            <w:r>
              <w:t>You may have to modify collection intervals, or stop</w:t>
            </w:r>
            <w:r w:rsidR="00894A35">
              <w:t>.</w:t>
            </w:r>
          </w:p>
          <w:p w:rsidR="00252488" w:rsidRDefault="00252488" w:rsidP="006824AD">
            <w:pPr>
              <w:pStyle w:val="ListParagraph"/>
              <w:numPr>
                <w:ilvl w:val="0"/>
                <w:numId w:val="3"/>
              </w:numPr>
            </w:pPr>
            <w:r>
              <w:t xml:space="preserve">Co prescribing of other sedatives e.g. benzos, Z drugs, </w:t>
            </w:r>
            <w:r w:rsidR="004E7341">
              <w:t xml:space="preserve">gabapentin/pregabalin, </w:t>
            </w:r>
            <w:r>
              <w:t>opiate polypharmacy (work out total morphine equivalent dose per day</w:t>
            </w:r>
            <w:r w:rsidR="0042518B">
              <w:t>; AVOID multiple opiates</w:t>
            </w:r>
            <w:r>
              <w:t>)</w:t>
            </w:r>
            <w:r w:rsidR="00894A35">
              <w:t>.</w:t>
            </w:r>
          </w:p>
          <w:p w:rsidR="00252488" w:rsidRDefault="00252488" w:rsidP="006824AD">
            <w:pPr>
              <w:pStyle w:val="ListParagraph"/>
              <w:numPr>
                <w:ilvl w:val="0"/>
                <w:numId w:val="3"/>
              </w:numPr>
            </w:pPr>
            <w:r>
              <w:t>Prescribing where there is other chronic disease, e.g. respiratory disease, depression</w:t>
            </w:r>
            <w:r w:rsidR="00894A35">
              <w:t>.</w:t>
            </w:r>
          </w:p>
          <w:p w:rsidR="00252488" w:rsidRDefault="00252488" w:rsidP="00252488">
            <w:pPr>
              <w:pStyle w:val="ListParagraph"/>
              <w:numPr>
                <w:ilvl w:val="0"/>
                <w:numId w:val="3"/>
              </w:numPr>
            </w:pPr>
            <w:r>
              <w:t xml:space="preserve">Evidence of misuse or overuse; </w:t>
            </w:r>
            <w:proofErr w:type="gramStart"/>
            <w:r>
              <w:t>reduce/stop</w:t>
            </w:r>
            <w:r w:rsidR="00514C21">
              <w:t>,</w:t>
            </w:r>
            <w:proofErr w:type="gramEnd"/>
            <w:r w:rsidR="00514C21">
              <w:t xml:space="preserve"> great care where there is drug/alcohol history</w:t>
            </w:r>
            <w:r w:rsidR="00894A35">
              <w:t>.</w:t>
            </w:r>
            <w:r>
              <w:t xml:space="preserve"> </w:t>
            </w:r>
          </w:p>
          <w:p w:rsidR="00252488" w:rsidRDefault="00252488" w:rsidP="00252488">
            <w:pPr>
              <w:pStyle w:val="ListParagraph"/>
              <w:numPr>
                <w:ilvl w:val="0"/>
                <w:numId w:val="3"/>
              </w:numPr>
            </w:pPr>
            <w:r>
              <w:t xml:space="preserve">Evidence of diversion – </w:t>
            </w:r>
            <w:r w:rsidR="00894A35">
              <w:t>STOP.</w:t>
            </w:r>
            <w:r>
              <w:t xml:space="preserve"> </w:t>
            </w:r>
          </w:p>
          <w:p w:rsidR="00252488" w:rsidRPr="00B36CFF" w:rsidRDefault="00252488" w:rsidP="00252488">
            <w:pPr>
              <w:pStyle w:val="ListParagraph"/>
              <w:numPr>
                <w:ilvl w:val="0"/>
                <w:numId w:val="3"/>
              </w:numPr>
            </w:pPr>
            <w:r>
              <w:t xml:space="preserve">Remember to ask about driving; it is the </w:t>
            </w:r>
            <w:r w:rsidR="00514C21">
              <w:t>patient’s</w:t>
            </w:r>
            <w:r>
              <w:t xml:space="preserve"> duty not to drive under the influence of drugs. Patien</w:t>
            </w:r>
            <w:r w:rsidR="00894A35">
              <w:t>ts must report high use to DVLA.</w:t>
            </w:r>
          </w:p>
        </w:tc>
      </w:tr>
      <w:tr w:rsidR="006824AD" w:rsidTr="00897405">
        <w:tc>
          <w:tcPr>
            <w:tcW w:w="1418" w:type="dxa"/>
          </w:tcPr>
          <w:p w:rsidR="006824AD" w:rsidRDefault="006824AD" w:rsidP="00897405">
            <w:r>
              <w:t>The detail</w:t>
            </w:r>
          </w:p>
        </w:tc>
        <w:tc>
          <w:tcPr>
            <w:tcW w:w="9639" w:type="dxa"/>
          </w:tcPr>
          <w:p w:rsidR="000076F3" w:rsidRPr="00877572" w:rsidRDefault="006824AD" w:rsidP="00877572">
            <w:pPr>
              <w:pStyle w:val="ListParagraph"/>
              <w:numPr>
                <w:ilvl w:val="0"/>
                <w:numId w:val="2"/>
              </w:numPr>
              <w:rPr>
                <w:lang w:val="en-US"/>
              </w:rPr>
            </w:pPr>
            <w:r>
              <w:t xml:space="preserve"> </w:t>
            </w:r>
            <w:r w:rsidR="00877572">
              <w:t>All o</w:t>
            </w:r>
            <w:r w:rsidR="00F32D98">
              <w:t xml:space="preserve">piates are of limited effectiveness in the management of chronic pain: </w:t>
            </w:r>
            <w:r w:rsidR="008D0C8D" w:rsidRPr="00F32D98">
              <w:rPr>
                <w:lang w:val="en-US"/>
              </w:rPr>
              <w:t xml:space="preserve">Opiates </w:t>
            </w:r>
            <w:r w:rsidR="00F32D98">
              <w:rPr>
                <w:lang w:val="en-US"/>
              </w:rPr>
              <w:t>are very effective</w:t>
            </w:r>
            <w:r w:rsidR="008D0C8D" w:rsidRPr="00F32D98">
              <w:rPr>
                <w:lang w:val="en-US"/>
              </w:rPr>
              <w:t xml:space="preserve"> for end of life care pain, </w:t>
            </w:r>
            <w:r w:rsidR="00F32D98">
              <w:rPr>
                <w:lang w:val="en-US"/>
              </w:rPr>
              <w:t xml:space="preserve">there is </w:t>
            </w:r>
            <w:r w:rsidR="002076E5">
              <w:rPr>
                <w:u w:val="single"/>
                <w:lang w:val="en-US"/>
              </w:rPr>
              <w:t>little</w:t>
            </w:r>
            <w:r w:rsidR="008D0C8D" w:rsidRPr="00F32D98">
              <w:rPr>
                <w:u w:val="single"/>
                <w:lang w:val="en-US"/>
              </w:rPr>
              <w:t xml:space="preserve"> evidence they are helpful for long term</w:t>
            </w:r>
            <w:r w:rsidR="00F32D98">
              <w:rPr>
                <w:u w:val="single"/>
                <w:lang w:val="en-US"/>
              </w:rPr>
              <w:t>, chronic,</w:t>
            </w:r>
            <w:r w:rsidR="008D0C8D" w:rsidRPr="00F32D98">
              <w:rPr>
                <w:u w:val="single"/>
                <w:lang w:val="en-US"/>
              </w:rPr>
              <w:t xml:space="preserve"> pain</w:t>
            </w:r>
            <w:r w:rsidR="00877572" w:rsidRPr="00894A35">
              <w:rPr>
                <w:lang w:val="en-US"/>
              </w:rPr>
              <w:t>.</w:t>
            </w:r>
            <w:r w:rsidR="00894A35" w:rsidRPr="00894A35">
              <w:rPr>
                <w:lang w:val="en-US"/>
              </w:rPr>
              <w:t xml:space="preserve">  </w:t>
            </w:r>
            <w:r w:rsidR="00877572" w:rsidRPr="00877572">
              <w:rPr>
                <w:lang w:val="en-US"/>
              </w:rPr>
              <w:t>Only</w:t>
            </w:r>
            <w:r w:rsidR="00877572" w:rsidRPr="00894A35">
              <w:rPr>
                <w:lang w:val="en-US"/>
              </w:rPr>
              <w:t xml:space="preserve"> </w:t>
            </w:r>
            <w:r w:rsidR="00877572">
              <w:rPr>
                <w:lang w:val="en-US"/>
              </w:rPr>
              <w:t>a</w:t>
            </w:r>
            <w:r w:rsidR="008D0C8D" w:rsidRPr="00877572">
              <w:rPr>
                <w:lang w:val="en-US"/>
              </w:rPr>
              <w:t xml:space="preserve"> small proportion of people with long term pain </w:t>
            </w:r>
            <w:r w:rsidR="00F32D98" w:rsidRPr="00877572">
              <w:rPr>
                <w:lang w:val="en-US"/>
              </w:rPr>
              <w:t xml:space="preserve">will </w:t>
            </w:r>
            <w:r w:rsidR="008D0C8D" w:rsidRPr="00877572">
              <w:rPr>
                <w:lang w:val="en-US"/>
              </w:rPr>
              <w:t>benefit from opiates particularly if the use is intermitten</w:t>
            </w:r>
            <w:r w:rsidR="00F32D98" w:rsidRPr="00877572">
              <w:rPr>
                <w:lang w:val="en-US"/>
              </w:rPr>
              <w:t>t and</w:t>
            </w:r>
            <w:r w:rsidR="00894A35">
              <w:rPr>
                <w:lang w:val="en-US"/>
              </w:rPr>
              <w:t xml:space="preserve"> the</w:t>
            </w:r>
            <w:r w:rsidR="00F32D98" w:rsidRPr="00877572">
              <w:rPr>
                <w:lang w:val="en-US"/>
              </w:rPr>
              <w:t xml:space="preserve"> dose low. </w:t>
            </w:r>
          </w:p>
          <w:p w:rsidR="00F505E4" w:rsidRPr="00F505E4" w:rsidRDefault="00F32D98" w:rsidP="00F505E4">
            <w:pPr>
              <w:pStyle w:val="ListParagraph"/>
              <w:rPr>
                <w:lang w:val="en-US"/>
              </w:rPr>
            </w:pPr>
            <w:r>
              <w:rPr>
                <w:lang w:val="en-US"/>
              </w:rPr>
              <w:t>Risk of harm in</w:t>
            </w:r>
            <w:r w:rsidR="008D0C8D" w:rsidRPr="00F32D98">
              <w:rPr>
                <w:lang w:val="en-US"/>
              </w:rPr>
              <w:t>creases beyond</w:t>
            </w:r>
            <w:r>
              <w:rPr>
                <w:lang w:val="en-US"/>
              </w:rPr>
              <w:t xml:space="preserve"> a morphine equivalent dose of </w:t>
            </w:r>
            <w:r w:rsidR="008D0C8D" w:rsidRPr="00F32D98">
              <w:rPr>
                <w:lang w:val="en-US"/>
              </w:rPr>
              <w:t>120mg per day</w:t>
            </w:r>
            <w:r w:rsidR="008D0C8D">
              <w:rPr>
                <w:lang w:val="en-US"/>
              </w:rPr>
              <w:t xml:space="preserve"> (i.e. 60mg oxycodone per day)</w:t>
            </w:r>
            <w:r w:rsidR="008D0C8D" w:rsidRPr="00F32D98">
              <w:rPr>
                <w:lang w:val="en-US"/>
              </w:rPr>
              <w:t xml:space="preserve">, but no increase in benefit. </w:t>
            </w:r>
            <w:r>
              <w:rPr>
                <w:lang w:val="en-US"/>
              </w:rPr>
              <w:t xml:space="preserve"> </w:t>
            </w:r>
            <w:r w:rsidR="008D0C8D" w:rsidRPr="00F32D98">
              <w:rPr>
                <w:lang w:val="en-US"/>
              </w:rPr>
              <w:t>If the patient is using opiates and not benefitting, they should be stopped, even if there are no alternatives</w:t>
            </w:r>
            <w:r w:rsidR="00FD6CFA">
              <w:rPr>
                <w:lang w:val="en-US"/>
              </w:rPr>
              <w:t>.</w:t>
            </w:r>
          </w:p>
          <w:p w:rsidR="006824AD" w:rsidRDefault="008D0C8D" w:rsidP="00F32D98">
            <w:pPr>
              <w:pStyle w:val="ListParagraph"/>
              <w:rPr>
                <w:lang w:val="en-US"/>
              </w:rPr>
            </w:pPr>
            <w:r w:rsidRPr="00F32D98">
              <w:rPr>
                <w:lang w:val="en-US"/>
              </w:rPr>
              <w:t>Chronic pain is a complex phenomenon (bio psycho social</w:t>
            </w:r>
            <w:r w:rsidR="00894A35">
              <w:rPr>
                <w:lang w:val="en-US"/>
              </w:rPr>
              <w:t>) and needs detailed assessment.</w:t>
            </w:r>
          </w:p>
          <w:p w:rsidR="00F505E4" w:rsidRDefault="00F505E4" w:rsidP="00F505E4">
            <w:pPr>
              <w:pStyle w:val="ListParagraph"/>
              <w:numPr>
                <w:ilvl w:val="0"/>
                <w:numId w:val="2"/>
              </w:numPr>
              <w:rPr>
                <w:lang w:val="en-US"/>
              </w:rPr>
            </w:pPr>
            <w:r>
              <w:rPr>
                <w:lang w:val="en-US"/>
              </w:rPr>
              <w:t xml:space="preserve">Hazards: Oxycodone SPC advises that 10mg oxycodone is equivalent to 20mg morphine i.e. it is very strong and the maximum dose per day should usually not exceed 60mg per day (120mg morphine equivalent). </w:t>
            </w:r>
          </w:p>
          <w:p w:rsidR="00F505E4" w:rsidRDefault="00F505E4" w:rsidP="00F505E4">
            <w:pPr>
              <w:pStyle w:val="ListParagraph"/>
              <w:rPr>
                <w:lang w:val="en-US"/>
              </w:rPr>
            </w:pPr>
            <w:r>
              <w:rPr>
                <w:lang w:val="en-US"/>
              </w:rPr>
              <w:t>Confusion can arise re long acting and short acting formulations e.g  OxyContin</w:t>
            </w:r>
            <w:r w:rsidR="003C44A6">
              <w:rPr>
                <w:lang w:val="en-US"/>
              </w:rPr>
              <w:t>®</w:t>
            </w:r>
            <w:r>
              <w:rPr>
                <w:lang w:val="en-US"/>
              </w:rPr>
              <w:t xml:space="preserve"> (long acting modified release)  OxyNorm</w:t>
            </w:r>
            <w:r w:rsidR="003C44A6">
              <w:rPr>
                <w:lang w:val="en-US"/>
              </w:rPr>
              <w:t>®</w:t>
            </w:r>
            <w:r>
              <w:rPr>
                <w:lang w:val="en-US"/>
              </w:rPr>
              <w:t xml:space="preserve"> (standard release) –confusing the two can lead to fatal overdose</w:t>
            </w:r>
            <w:r w:rsidR="00FD6CFA">
              <w:rPr>
                <w:lang w:val="en-US"/>
              </w:rPr>
              <w:t>.</w:t>
            </w:r>
            <w:r>
              <w:rPr>
                <w:lang w:val="en-US"/>
              </w:rPr>
              <w:t xml:space="preserve"> </w:t>
            </w:r>
          </w:p>
          <w:p w:rsidR="00F505E4" w:rsidRPr="00F31CAB" w:rsidRDefault="00F505E4" w:rsidP="00F505E4">
            <w:pPr>
              <w:pStyle w:val="ListParagraph"/>
              <w:rPr>
                <w:lang w:val="en-US"/>
              </w:rPr>
            </w:pPr>
            <w:r>
              <w:rPr>
                <w:lang w:val="en-US"/>
              </w:rPr>
              <w:t>It is subject to mis</w:t>
            </w:r>
            <w:r w:rsidR="003C44A6">
              <w:rPr>
                <w:lang w:val="en-US"/>
              </w:rPr>
              <w:t>use, and has</w:t>
            </w:r>
            <w:r w:rsidR="00894A35">
              <w:rPr>
                <w:lang w:val="en-US"/>
              </w:rPr>
              <w:t xml:space="preserve"> </w:t>
            </w:r>
            <w:r w:rsidR="00894A35" w:rsidRPr="00F31CAB">
              <w:rPr>
                <w:lang w:val="en-US"/>
              </w:rPr>
              <w:t xml:space="preserve">the potential for diversion.  </w:t>
            </w:r>
            <w:r w:rsidR="003C44A6" w:rsidRPr="00F31CAB">
              <w:rPr>
                <w:lang w:val="en-US"/>
              </w:rPr>
              <w:t xml:space="preserve"> </w:t>
            </w:r>
          </w:p>
          <w:p w:rsidR="00252488" w:rsidRPr="00F31CAB" w:rsidRDefault="00F32D98" w:rsidP="00252488">
            <w:pPr>
              <w:pStyle w:val="ListParagraph"/>
              <w:numPr>
                <w:ilvl w:val="0"/>
                <w:numId w:val="2"/>
              </w:numPr>
              <w:rPr>
                <w:lang w:val="en-US"/>
              </w:rPr>
            </w:pPr>
            <w:r w:rsidRPr="00F31CAB">
              <w:rPr>
                <w:lang w:val="en-US"/>
              </w:rPr>
              <w:t xml:space="preserve">Expensive: </w:t>
            </w:r>
            <w:r w:rsidR="00252488" w:rsidRPr="00F31CAB">
              <w:rPr>
                <w:lang w:val="en-US"/>
              </w:rPr>
              <w:t xml:space="preserve">Wherever possible </w:t>
            </w:r>
            <w:r w:rsidR="00514C21" w:rsidRPr="00F31CAB">
              <w:rPr>
                <w:lang w:val="en-US"/>
              </w:rPr>
              <w:t xml:space="preserve">switch to morphine equivalent. </w:t>
            </w:r>
            <w:r w:rsidR="00894A35" w:rsidRPr="00F31CAB">
              <w:rPr>
                <w:lang w:val="en-US"/>
              </w:rPr>
              <w:t xml:space="preserve"> Oxycodone</w:t>
            </w:r>
            <w:r w:rsidR="00F505E4" w:rsidRPr="00F31CAB">
              <w:rPr>
                <w:lang w:val="en-US"/>
              </w:rPr>
              <w:t xml:space="preserve"> MR 60mg </w:t>
            </w:r>
            <w:proofErr w:type="spellStart"/>
            <w:r w:rsidR="00F505E4" w:rsidRPr="00F31CAB">
              <w:rPr>
                <w:lang w:val="en-US"/>
              </w:rPr>
              <w:t>bd</w:t>
            </w:r>
            <w:proofErr w:type="spellEnd"/>
            <w:r w:rsidR="00F505E4" w:rsidRPr="00F31CAB">
              <w:rPr>
                <w:lang w:val="en-US"/>
              </w:rPr>
              <w:t xml:space="preserve"> costs </w:t>
            </w:r>
            <w:r w:rsidR="00E87DF7" w:rsidRPr="00F31CAB">
              <w:rPr>
                <w:lang w:val="en-US"/>
              </w:rPr>
              <w:t xml:space="preserve">approximately four times more than </w:t>
            </w:r>
            <w:r w:rsidR="00894A35" w:rsidRPr="00F31CAB">
              <w:rPr>
                <w:lang w:val="en-US"/>
              </w:rPr>
              <w:t xml:space="preserve">Morphine </w:t>
            </w:r>
            <w:proofErr w:type="spellStart"/>
            <w:r w:rsidR="00894A35" w:rsidRPr="00F31CAB">
              <w:rPr>
                <w:lang w:val="en-US"/>
              </w:rPr>
              <w:t>Sulphate</w:t>
            </w:r>
            <w:proofErr w:type="spellEnd"/>
            <w:r w:rsidR="00E87DF7" w:rsidRPr="00F31CAB">
              <w:rPr>
                <w:lang w:val="en-US"/>
              </w:rPr>
              <w:t xml:space="preserve"> equivalent dose (or even more depending on brand chosen)</w:t>
            </w:r>
            <w:r w:rsidR="00877572" w:rsidRPr="00F31CAB">
              <w:rPr>
                <w:lang w:val="en-US"/>
              </w:rPr>
              <w:t xml:space="preserve">. </w:t>
            </w:r>
            <w:r w:rsidR="00894A35" w:rsidRPr="00F31CAB">
              <w:rPr>
                <w:lang w:val="en-US"/>
              </w:rPr>
              <w:t xml:space="preserve"> </w:t>
            </w:r>
            <w:r w:rsidR="00252488" w:rsidRPr="00F31CAB">
              <w:rPr>
                <w:lang w:val="en-US"/>
              </w:rPr>
              <w:t xml:space="preserve">Savings </w:t>
            </w:r>
            <w:r w:rsidR="005B0723" w:rsidRPr="00F31CAB">
              <w:rPr>
                <w:lang w:val="en-US"/>
              </w:rPr>
              <w:t>of approx. £56,000</w:t>
            </w:r>
            <w:r w:rsidR="00252488" w:rsidRPr="00F31CAB">
              <w:rPr>
                <w:lang w:val="en-US"/>
              </w:rPr>
              <w:t xml:space="preserve"> per 100,000 pat</w:t>
            </w:r>
            <w:r w:rsidR="00514C21" w:rsidRPr="00F31CAB">
              <w:rPr>
                <w:lang w:val="en-US"/>
              </w:rPr>
              <w:t>ients by switching to Morphine S</w:t>
            </w:r>
            <w:r w:rsidR="00252488" w:rsidRPr="00F31CAB">
              <w:rPr>
                <w:lang w:val="en-US"/>
              </w:rPr>
              <w:t xml:space="preserve">ulphate MR </w:t>
            </w:r>
          </w:p>
          <w:p w:rsidR="00F32D98" w:rsidRPr="00F32D98" w:rsidRDefault="00514C21" w:rsidP="00F32D98">
            <w:pPr>
              <w:pStyle w:val="ListParagraph"/>
              <w:numPr>
                <w:ilvl w:val="0"/>
                <w:numId w:val="2"/>
              </w:numPr>
              <w:rPr>
                <w:lang w:val="en-US"/>
              </w:rPr>
            </w:pPr>
            <w:r w:rsidRPr="00F31CAB">
              <w:rPr>
                <w:lang w:val="en-US"/>
              </w:rPr>
              <w:t>No evidence for advantages over morphine re efficacy</w:t>
            </w:r>
            <w:r>
              <w:rPr>
                <w:lang w:val="en-US"/>
              </w:rPr>
              <w:t xml:space="preserve"> and tolerability  </w:t>
            </w:r>
          </w:p>
        </w:tc>
      </w:tr>
      <w:tr w:rsidR="006824AD" w:rsidTr="00897405">
        <w:tc>
          <w:tcPr>
            <w:tcW w:w="1418" w:type="dxa"/>
          </w:tcPr>
          <w:p w:rsidR="006824AD" w:rsidRDefault="006824AD" w:rsidP="00897405">
            <w:r>
              <w:t xml:space="preserve"> Links </w:t>
            </w:r>
          </w:p>
        </w:tc>
        <w:tc>
          <w:tcPr>
            <w:tcW w:w="9639" w:type="dxa"/>
          </w:tcPr>
          <w:p w:rsidR="006824AD" w:rsidRDefault="00F31CAB" w:rsidP="00897405">
            <w:hyperlink r:id="rId8" w:history="1">
              <w:r w:rsidR="00F32D98" w:rsidRPr="00834239">
                <w:rPr>
                  <w:rStyle w:val="Hyperlink"/>
                </w:rPr>
                <w:t>https://www.prescqipp.info/resources/send/61-oxycodone-mr/864-bulletin-52-oxycodone-mr</w:t>
              </w:r>
            </w:hyperlink>
          </w:p>
          <w:p w:rsidR="00E87DF7" w:rsidRDefault="00F31CAB" w:rsidP="00897405">
            <w:pPr>
              <w:rPr>
                <w:rStyle w:val="Hyperlink"/>
              </w:rPr>
            </w:pPr>
            <w:hyperlink r:id="rId9" w:history="1">
              <w:r w:rsidR="00F32D98" w:rsidRPr="00834239">
                <w:rPr>
                  <w:rStyle w:val="Hyperlink"/>
                </w:rPr>
                <w:t>https://www.fpm.ac.uk/faculty-of-pain-medicine/opioids-aware</w:t>
              </w:r>
            </w:hyperlink>
          </w:p>
          <w:p w:rsidR="00F32D98" w:rsidRPr="00874EAA" w:rsidRDefault="00F31CAB" w:rsidP="00897405">
            <w:hyperlink r:id="rId10" w:history="1">
              <w:r w:rsidRPr="009D6D8A">
                <w:rPr>
                  <w:rStyle w:val="Hyperlink"/>
                </w:rPr>
                <w:t>https://www.surreyandsussex.nhs.uk/wp-content/uploads/2013/04/CQC-Safer-use-of-Controlled-Drugs-Preventing-harm-from-Oral-Oxycodone-preparations.pdf</w:t>
              </w:r>
            </w:hyperlink>
            <w:r>
              <w:t xml:space="preserve"> </w:t>
            </w:r>
          </w:p>
        </w:tc>
      </w:tr>
      <w:tr w:rsidR="006824AD" w:rsidTr="00897405">
        <w:tc>
          <w:tcPr>
            <w:tcW w:w="1418" w:type="dxa"/>
          </w:tcPr>
          <w:p w:rsidR="006824AD" w:rsidRDefault="006824AD" w:rsidP="00897405">
            <w:r>
              <w:t xml:space="preserve">Author </w:t>
            </w:r>
          </w:p>
        </w:tc>
        <w:tc>
          <w:tcPr>
            <w:tcW w:w="9639" w:type="dxa"/>
          </w:tcPr>
          <w:p w:rsidR="006824AD" w:rsidRDefault="0042518B" w:rsidP="00897405">
            <w:r>
              <w:t>Ruth Bastable</w:t>
            </w:r>
          </w:p>
        </w:tc>
      </w:tr>
      <w:tr w:rsidR="006824AD" w:rsidTr="00897405">
        <w:tc>
          <w:tcPr>
            <w:tcW w:w="1418" w:type="dxa"/>
          </w:tcPr>
          <w:p w:rsidR="006824AD" w:rsidRDefault="006824AD" w:rsidP="00897405">
            <w:r>
              <w:t xml:space="preserve">Date </w:t>
            </w:r>
          </w:p>
        </w:tc>
        <w:tc>
          <w:tcPr>
            <w:tcW w:w="9639" w:type="dxa"/>
          </w:tcPr>
          <w:p w:rsidR="006824AD" w:rsidRDefault="00F31CAB" w:rsidP="00897405">
            <w:r>
              <w:t>January 2018</w:t>
            </w:r>
            <w:bookmarkStart w:id="0" w:name="_GoBack"/>
            <w:bookmarkEnd w:id="0"/>
            <w:r w:rsidR="0042518B">
              <w:t xml:space="preserve"> </w:t>
            </w:r>
          </w:p>
        </w:tc>
      </w:tr>
    </w:tbl>
    <w:p w:rsidR="006824AD" w:rsidRDefault="006824AD" w:rsidP="006824AD"/>
    <w:p w:rsidR="006824AD" w:rsidRDefault="006824AD" w:rsidP="006824AD"/>
    <w:p w:rsidR="00C63A35" w:rsidRDefault="00C63A35"/>
    <w:sectPr w:rsidR="00C63A35" w:rsidSect="00701BA9">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91C" w:rsidRDefault="00EE091C" w:rsidP="000076F3">
      <w:pPr>
        <w:spacing w:after="0" w:line="240" w:lineRule="auto"/>
      </w:pPr>
      <w:r>
        <w:separator/>
      </w:r>
    </w:p>
  </w:endnote>
  <w:endnote w:type="continuationSeparator" w:id="0">
    <w:p w:rsidR="00EE091C" w:rsidRDefault="00EE091C" w:rsidP="0000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91C" w:rsidRDefault="00EE091C" w:rsidP="000076F3">
      <w:pPr>
        <w:spacing w:after="0" w:line="240" w:lineRule="auto"/>
      </w:pPr>
      <w:r>
        <w:separator/>
      </w:r>
    </w:p>
  </w:footnote>
  <w:footnote w:type="continuationSeparator" w:id="0">
    <w:p w:rsidR="00EE091C" w:rsidRDefault="00EE091C" w:rsidP="000076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BDF" w:rsidRPr="00370421" w:rsidRDefault="008D0C8D" w:rsidP="008B4BDF">
    <w:pPr>
      <w:pStyle w:val="Header"/>
      <w:jc w:val="center"/>
      <w:rPr>
        <w:rFonts w:asciiTheme="majorHAnsi" w:hAnsiTheme="majorHAnsi"/>
        <w:b/>
        <w:i/>
        <w:sz w:val="32"/>
        <w:szCs w:val="40"/>
        <w:u w:val="single"/>
      </w:rPr>
    </w:pPr>
    <w:r w:rsidRPr="00370421">
      <w:rPr>
        <w:rFonts w:asciiTheme="majorHAnsi" w:hAnsiTheme="majorHAnsi"/>
        <w:b/>
        <w:i/>
        <w:sz w:val="32"/>
        <w:szCs w:val="40"/>
        <w:u w:val="single"/>
      </w:rPr>
      <w:t xml:space="preserve">KISS </w:t>
    </w:r>
  </w:p>
  <w:p w:rsidR="008B4BDF" w:rsidRPr="00370421" w:rsidRDefault="008D0C8D" w:rsidP="008B4BDF">
    <w:pPr>
      <w:pStyle w:val="Header"/>
      <w:jc w:val="center"/>
      <w:rPr>
        <w:rFonts w:asciiTheme="majorHAnsi" w:hAnsiTheme="majorHAnsi"/>
        <w:b/>
        <w:i/>
        <w:sz w:val="20"/>
        <w:u w:val="single"/>
      </w:rPr>
    </w:pPr>
    <w:r w:rsidRPr="00370421">
      <w:rPr>
        <w:rFonts w:asciiTheme="majorHAnsi" w:hAnsiTheme="majorHAnsi"/>
        <w:b/>
        <w:i/>
        <w:sz w:val="20"/>
        <w:szCs w:val="40"/>
        <w:u w:val="single"/>
      </w:rPr>
      <w:t>Keep It Simple and Straightforward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096A"/>
    <w:multiLevelType w:val="hybridMultilevel"/>
    <w:tmpl w:val="AAE0D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7E2292"/>
    <w:multiLevelType w:val="hybridMultilevel"/>
    <w:tmpl w:val="F7D43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DB0E76"/>
    <w:multiLevelType w:val="hybridMultilevel"/>
    <w:tmpl w:val="F6AE0790"/>
    <w:lvl w:ilvl="0" w:tplc="8BEA3924">
      <w:start w:val="1"/>
      <w:numFmt w:val="bullet"/>
      <w:lvlText w:val=""/>
      <w:lvlJc w:val="left"/>
      <w:pPr>
        <w:tabs>
          <w:tab w:val="num" w:pos="720"/>
        </w:tabs>
        <w:ind w:left="720" w:hanging="360"/>
      </w:pPr>
      <w:rPr>
        <w:rFonts w:ascii="Wingdings 2" w:hAnsi="Wingdings 2" w:hint="default"/>
      </w:rPr>
    </w:lvl>
    <w:lvl w:ilvl="1" w:tplc="9B7ED910" w:tentative="1">
      <w:start w:val="1"/>
      <w:numFmt w:val="bullet"/>
      <w:lvlText w:val=""/>
      <w:lvlJc w:val="left"/>
      <w:pPr>
        <w:tabs>
          <w:tab w:val="num" w:pos="1440"/>
        </w:tabs>
        <w:ind w:left="1440" w:hanging="360"/>
      </w:pPr>
      <w:rPr>
        <w:rFonts w:ascii="Wingdings 2" w:hAnsi="Wingdings 2" w:hint="default"/>
      </w:rPr>
    </w:lvl>
    <w:lvl w:ilvl="2" w:tplc="F34419D0" w:tentative="1">
      <w:start w:val="1"/>
      <w:numFmt w:val="bullet"/>
      <w:lvlText w:val=""/>
      <w:lvlJc w:val="left"/>
      <w:pPr>
        <w:tabs>
          <w:tab w:val="num" w:pos="2160"/>
        </w:tabs>
        <w:ind w:left="2160" w:hanging="360"/>
      </w:pPr>
      <w:rPr>
        <w:rFonts w:ascii="Wingdings 2" w:hAnsi="Wingdings 2" w:hint="default"/>
      </w:rPr>
    </w:lvl>
    <w:lvl w:ilvl="3" w:tplc="BFA83FCA" w:tentative="1">
      <w:start w:val="1"/>
      <w:numFmt w:val="bullet"/>
      <w:lvlText w:val=""/>
      <w:lvlJc w:val="left"/>
      <w:pPr>
        <w:tabs>
          <w:tab w:val="num" w:pos="2880"/>
        </w:tabs>
        <w:ind w:left="2880" w:hanging="360"/>
      </w:pPr>
      <w:rPr>
        <w:rFonts w:ascii="Wingdings 2" w:hAnsi="Wingdings 2" w:hint="default"/>
      </w:rPr>
    </w:lvl>
    <w:lvl w:ilvl="4" w:tplc="A3AA5896" w:tentative="1">
      <w:start w:val="1"/>
      <w:numFmt w:val="bullet"/>
      <w:lvlText w:val=""/>
      <w:lvlJc w:val="left"/>
      <w:pPr>
        <w:tabs>
          <w:tab w:val="num" w:pos="3600"/>
        </w:tabs>
        <w:ind w:left="3600" w:hanging="360"/>
      </w:pPr>
      <w:rPr>
        <w:rFonts w:ascii="Wingdings 2" w:hAnsi="Wingdings 2" w:hint="default"/>
      </w:rPr>
    </w:lvl>
    <w:lvl w:ilvl="5" w:tplc="FE328062" w:tentative="1">
      <w:start w:val="1"/>
      <w:numFmt w:val="bullet"/>
      <w:lvlText w:val=""/>
      <w:lvlJc w:val="left"/>
      <w:pPr>
        <w:tabs>
          <w:tab w:val="num" w:pos="4320"/>
        </w:tabs>
        <w:ind w:left="4320" w:hanging="360"/>
      </w:pPr>
      <w:rPr>
        <w:rFonts w:ascii="Wingdings 2" w:hAnsi="Wingdings 2" w:hint="default"/>
      </w:rPr>
    </w:lvl>
    <w:lvl w:ilvl="6" w:tplc="CE6C9902" w:tentative="1">
      <w:start w:val="1"/>
      <w:numFmt w:val="bullet"/>
      <w:lvlText w:val=""/>
      <w:lvlJc w:val="left"/>
      <w:pPr>
        <w:tabs>
          <w:tab w:val="num" w:pos="5040"/>
        </w:tabs>
        <w:ind w:left="5040" w:hanging="360"/>
      </w:pPr>
      <w:rPr>
        <w:rFonts w:ascii="Wingdings 2" w:hAnsi="Wingdings 2" w:hint="default"/>
      </w:rPr>
    </w:lvl>
    <w:lvl w:ilvl="7" w:tplc="78D2AFA6" w:tentative="1">
      <w:start w:val="1"/>
      <w:numFmt w:val="bullet"/>
      <w:lvlText w:val=""/>
      <w:lvlJc w:val="left"/>
      <w:pPr>
        <w:tabs>
          <w:tab w:val="num" w:pos="5760"/>
        </w:tabs>
        <w:ind w:left="5760" w:hanging="360"/>
      </w:pPr>
      <w:rPr>
        <w:rFonts w:ascii="Wingdings 2" w:hAnsi="Wingdings 2" w:hint="default"/>
      </w:rPr>
    </w:lvl>
    <w:lvl w:ilvl="8" w:tplc="E3F25782" w:tentative="1">
      <w:start w:val="1"/>
      <w:numFmt w:val="bullet"/>
      <w:lvlText w:val=""/>
      <w:lvlJc w:val="left"/>
      <w:pPr>
        <w:tabs>
          <w:tab w:val="num" w:pos="6480"/>
        </w:tabs>
        <w:ind w:left="6480" w:hanging="360"/>
      </w:pPr>
      <w:rPr>
        <w:rFonts w:ascii="Wingdings 2" w:hAnsi="Wingdings 2" w:hint="default"/>
      </w:rPr>
    </w:lvl>
  </w:abstractNum>
  <w:abstractNum w:abstractNumId="3">
    <w:nsid w:val="3B5564E5"/>
    <w:multiLevelType w:val="hybridMultilevel"/>
    <w:tmpl w:val="F57C2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3760077"/>
    <w:multiLevelType w:val="hybridMultilevel"/>
    <w:tmpl w:val="562EB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4AD"/>
    <w:rsid w:val="000047DA"/>
    <w:rsid w:val="0000519C"/>
    <w:rsid w:val="000076F3"/>
    <w:rsid w:val="002076E5"/>
    <w:rsid w:val="00233C9E"/>
    <w:rsid w:val="00252488"/>
    <w:rsid w:val="003C44A6"/>
    <w:rsid w:val="0042518B"/>
    <w:rsid w:val="004915DD"/>
    <w:rsid w:val="004E7341"/>
    <w:rsid w:val="00514C21"/>
    <w:rsid w:val="00572946"/>
    <w:rsid w:val="005913BB"/>
    <w:rsid w:val="005B0723"/>
    <w:rsid w:val="006824AD"/>
    <w:rsid w:val="006F0189"/>
    <w:rsid w:val="00771A03"/>
    <w:rsid w:val="007C03B8"/>
    <w:rsid w:val="00864B9C"/>
    <w:rsid w:val="00877572"/>
    <w:rsid w:val="00894A35"/>
    <w:rsid w:val="008D0C8D"/>
    <w:rsid w:val="00A15440"/>
    <w:rsid w:val="00B84E23"/>
    <w:rsid w:val="00BC4A9C"/>
    <w:rsid w:val="00C63A35"/>
    <w:rsid w:val="00D924FE"/>
    <w:rsid w:val="00E87DF7"/>
    <w:rsid w:val="00EE091C"/>
    <w:rsid w:val="00F31CAB"/>
    <w:rsid w:val="00F32D98"/>
    <w:rsid w:val="00F505E4"/>
    <w:rsid w:val="00FD6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2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24AD"/>
    <w:rPr>
      <w:color w:val="0000FF" w:themeColor="hyperlink"/>
      <w:u w:val="single"/>
    </w:rPr>
  </w:style>
  <w:style w:type="paragraph" w:styleId="ListParagraph">
    <w:name w:val="List Paragraph"/>
    <w:basedOn w:val="Normal"/>
    <w:uiPriority w:val="34"/>
    <w:qFormat/>
    <w:rsid w:val="006824AD"/>
    <w:pPr>
      <w:ind w:left="720"/>
      <w:contextualSpacing/>
    </w:pPr>
  </w:style>
  <w:style w:type="paragraph" w:styleId="Header">
    <w:name w:val="header"/>
    <w:basedOn w:val="Normal"/>
    <w:link w:val="HeaderChar"/>
    <w:uiPriority w:val="99"/>
    <w:unhideWhenUsed/>
    <w:rsid w:val="006824AD"/>
    <w:pPr>
      <w:tabs>
        <w:tab w:val="center" w:pos="4320"/>
        <w:tab w:val="right" w:pos="8640"/>
      </w:tabs>
      <w:spacing w:after="0" w:line="240" w:lineRule="auto"/>
    </w:pPr>
  </w:style>
  <w:style w:type="character" w:customStyle="1" w:styleId="HeaderChar">
    <w:name w:val="Header Char"/>
    <w:basedOn w:val="DefaultParagraphFont"/>
    <w:link w:val="Header"/>
    <w:uiPriority w:val="99"/>
    <w:rsid w:val="006824AD"/>
    <w:rPr>
      <w:lang w:val="en-GB"/>
    </w:rPr>
  </w:style>
  <w:style w:type="paragraph" w:styleId="BalloonText">
    <w:name w:val="Balloon Text"/>
    <w:basedOn w:val="Normal"/>
    <w:link w:val="BalloonTextChar"/>
    <w:uiPriority w:val="99"/>
    <w:semiHidden/>
    <w:unhideWhenUsed/>
    <w:rsid w:val="00FD6CF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6CFA"/>
    <w:rPr>
      <w:rFonts w:ascii="Lucida Grande" w:hAnsi="Lucida Grande" w:cs="Lucida Grande"/>
      <w:sz w:val="18"/>
      <w:szCs w:val="18"/>
      <w:lang w:val="en-GB"/>
    </w:rPr>
  </w:style>
  <w:style w:type="character" w:styleId="FollowedHyperlink">
    <w:name w:val="FollowedHyperlink"/>
    <w:basedOn w:val="DefaultParagraphFont"/>
    <w:uiPriority w:val="99"/>
    <w:semiHidden/>
    <w:unhideWhenUsed/>
    <w:rsid w:val="00FD6CFA"/>
    <w:rPr>
      <w:color w:val="800080" w:themeColor="followedHyperlink"/>
      <w:u w:val="single"/>
    </w:rPr>
  </w:style>
  <w:style w:type="character" w:styleId="CommentReference">
    <w:name w:val="annotation reference"/>
    <w:basedOn w:val="DefaultParagraphFont"/>
    <w:uiPriority w:val="99"/>
    <w:semiHidden/>
    <w:unhideWhenUsed/>
    <w:rsid w:val="00FD6CFA"/>
    <w:rPr>
      <w:sz w:val="18"/>
      <w:szCs w:val="18"/>
    </w:rPr>
  </w:style>
  <w:style w:type="paragraph" w:styleId="CommentText">
    <w:name w:val="annotation text"/>
    <w:basedOn w:val="Normal"/>
    <w:link w:val="CommentTextChar"/>
    <w:uiPriority w:val="99"/>
    <w:semiHidden/>
    <w:unhideWhenUsed/>
    <w:rsid w:val="00FD6CFA"/>
    <w:pPr>
      <w:spacing w:line="240" w:lineRule="auto"/>
    </w:pPr>
    <w:rPr>
      <w:sz w:val="24"/>
      <w:szCs w:val="24"/>
    </w:rPr>
  </w:style>
  <w:style w:type="character" w:customStyle="1" w:styleId="CommentTextChar">
    <w:name w:val="Comment Text Char"/>
    <w:basedOn w:val="DefaultParagraphFont"/>
    <w:link w:val="CommentText"/>
    <w:uiPriority w:val="99"/>
    <w:semiHidden/>
    <w:rsid w:val="00FD6CFA"/>
    <w:rPr>
      <w:sz w:val="24"/>
      <w:szCs w:val="24"/>
      <w:lang w:val="en-GB"/>
    </w:rPr>
  </w:style>
  <w:style w:type="paragraph" w:styleId="CommentSubject">
    <w:name w:val="annotation subject"/>
    <w:basedOn w:val="CommentText"/>
    <w:next w:val="CommentText"/>
    <w:link w:val="CommentSubjectChar"/>
    <w:uiPriority w:val="99"/>
    <w:semiHidden/>
    <w:unhideWhenUsed/>
    <w:rsid w:val="00FD6CFA"/>
    <w:rPr>
      <w:b/>
      <w:bCs/>
      <w:sz w:val="20"/>
      <w:szCs w:val="20"/>
    </w:rPr>
  </w:style>
  <w:style w:type="character" w:customStyle="1" w:styleId="CommentSubjectChar">
    <w:name w:val="Comment Subject Char"/>
    <w:basedOn w:val="CommentTextChar"/>
    <w:link w:val="CommentSubject"/>
    <w:uiPriority w:val="99"/>
    <w:semiHidden/>
    <w:rsid w:val="00FD6CFA"/>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2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24AD"/>
    <w:rPr>
      <w:color w:val="0000FF" w:themeColor="hyperlink"/>
      <w:u w:val="single"/>
    </w:rPr>
  </w:style>
  <w:style w:type="paragraph" w:styleId="ListParagraph">
    <w:name w:val="List Paragraph"/>
    <w:basedOn w:val="Normal"/>
    <w:uiPriority w:val="34"/>
    <w:qFormat/>
    <w:rsid w:val="006824AD"/>
    <w:pPr>
      <w:ind w:left="720"/>
      <w:contextualSpacing/>
    </w:pPr>
  </w:style>
  <w:style w:type="paragraph" w:styleId="Header">
    <w:name w:val="header"/>
    <w:basedOn w:val="Normal"/>
    <w:link w:val="HeaderChar"/>
    <w:uiPriority w:val="99"/>
    <w:unhideWhenUsed/>
    <w:rsid w:val="006824AD"/>
    <w:pPr>
      <w:tabs>
        <w:tab w:val="center" w:pos="4320"/>
        <w:tab w:val="right" w:pos="8640"/>
      </w:tabs>
      <w:spacing w:after="0" w:line="240" w:lineRule="auto"/>
    </w:pPr>
  </w:style>
  <w:style w:type="character" w:customStyle="1" w:styleId="HeaderChar">
    <w:name w:val="Header Char"/>
    <w:basedOn w:val="DefaultParagraphFont"/>
    <w:link w:val="Header"/>
    <w:uiPriority w:val="99"/>
    <w:rsid w:val="006824AD"/>
    <w:rPr>
      <w:lang w:val="en-GB"/>
    </w:rPr>
  </w:style>
  <w:style w:type="paragraph" w:styleId="BalloonText">
    <w:name w:val="Balloon Text"/>
    <w:basedOn w:val="Normal"/>
    <w:link w:val="BalloonTextChar"/>
    <w:uiPriority w:val="99"/>
    <w:semiHidden/>
    <w:unhideWhenUsed/>
    <w:rsid w:val="00FD6CF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6CFA"/>
    <w:rPr>
      <w:rFonts w:ascii="Lucida Grande" w:hAnsi="Lucida Grande" w:cs="Lucida Grande"/>
      <w:sz w:val="18"/>
      <w:szCs w:val="18"/>
      <w:lang w:val="en-GB"/>
    </w:rPr>
  </w:style>
  <w:style w:type="character" w:styleId="FollowedHyperlink">
    <w:name w:val="FollowedHyperlink"/>
    <w:basedOn w:val="DefaultParagraphFont"/>
    <w:uiPriority w:val="99"/>
    <w:semiHidden/>
    <w:unhideWhenUsed/>
    <w:rsid w:val="00FD6CFA"/>
    <w:rPr>
      <w:color w:val="800080" w:themeColor="followedHyperlink"/>
      <w:u w:val="single"/>
    </w:rPr>
  </w:style>
  <w:style w:type="character" w:styleId="CommentReference">
    <w:name w:val="annotation reference"/>
    <w:basedOn w:val="DefaultParagraphFont"/>
    <w:uiPriority w:val="99"/>
    <w:semiHidden/>
    <w:unhideWhenUsed/>
    <w:rsid w:val="00FD6CFA"/>
    <w:rPr>
      <w:sz w:val="18"/>
      <w:szCs w:val="18"/>
    </w:rPr>
  </w:style>
  <w:style w:type="paragraph" w:styleId="CommentText">
    <w:name w:val="annotation text"/>
    <w:basedOn w:val="Normal"/>
    <w:link w:val="CommentTextChar"/>
    <w:uiPriority w:val="99"/>
    <w:semiHidden/>
    <w:unhideWhenUsed/>
    <w:rsid w:val="00FD6CFA"/>
    <w:pPr>
      <w:spacing w:line="240" w:lineRule="auto"/>
    </w:pPr>
    <w:rPr>
      <w:sz w:val="24"/>
      <w:szCs w:val="24"/>
    </w:rPr>
  </w:style>
  <w:style w:type="character" w:customStyle="1" w:styleId="CommentTextChar">
    <w:name w:val="Comment Text Char"/>
    <w:basedOn w:val="DefaultParagraphFont"/>
    <w:link w:val="CommentText"/>
    <w:uiPriority w:val="99"/>
    <w:semiHidden/>
    <w:rsid w:val="00FD6CFA"/>
    <w:rPr>
      <w:sz w:val="24"/>
      <w:szCs w:val="24"/>
      <w:lang w:val="en-GB"/>
    </w:rPr>
  </w:style>
  <w:style w:type="paragraph" w:styleId="CommentSubject">
    <w:name w:val="annotation subject"/>
    <w:basedOn w:val="CommentText"/>
    <w:next w:val="CommentText"/>
    <w:link w:val="CommentSubjectChar"/>
    <w:uiPriority w:val="99"/>
    <w:semiHidden/>
    <w:unhideWhenUsed/>
    <w:rsid w:val="00FD6CFA"/>
    <w:rPr>
      <w:b/>
      <w:bCs/>
      <w:sz w:val="20"/>
      <w:szCs w:val="20"/>
    </w:rPr>
  </w:style>
  <w:style w:type="character" w:customStyle="1" w:styleId="CommentSubjectChar">
    <w:name w:val="Comment Subject Char"/>
    <w:basedOn w:val="CommentTextChar"/>
    <w:link w:val="CommentSubject"/>
    <w:uiPriority w:val="99"/>
    <w:semiHidden/>
    <w:rsid w:val="00FD6CFA"/>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4332">
      <w:bodyDiv w:val="1"/>
      <w:marLeft w:val="0"/>
      <w:marRight w:val="0"/>
      <w:marTop w:val="0"/>
      <w:marBottom w:val="0"/>
      <w:divBdr>
        <w:top w:val="none" w:sz="0" w:space="0" w:color="auto"/>
        <w:left w:val="none" w:sz="0" w:space="0" w:color="auto"/>
        <w:bottom w:val="none" w:sz="0" w:space="0" w:color="auto"/>
        <w:right w:val="none" w:sz="0" w:space="0" w:color="auto"/>
      </w:divBdr>
      <w:divsChild>
        <w:div w:id="1235119245">
          <w:marLeft w:val="432"/>
          <w:marRight w:val="0"/>
          <w:marTop w:val="115"/>
          <w:marBottom w:val="0"/>
          <w:divBdr>
            <w:top w:val="none" w:sz="0" w:space="0" w:color="auto"/>
            <w:left w:val="none" w:sz="0" w:space="0" w:color="auto"/>
            <w:bottom w:val="none" w:sz="0" w:space="0" w:color="auto"/>
            <w:right w:val="none" w:sz="0" w:space="0" w:color="auto"/>
          </w:divBdr>
        </w:div>
        <w:div w:id="2069304789">
          <w:marLeft w:val="432"/>
          <w:marRight w:val="0"/>
          <w:marTop w:val="115"/>
          <w:marBottom w:val="0"/>
          <w:divBdr>
            <w:top w:val="none" w:sz="0" w:space="0" w:color="auto"/>
            <w:left w:val="none" w:sz="0" w:space="0" w:color="auto"/>
            <w:bottom w:val="none" w:sz="0" w:space="0" w:color="auto"/>
            <w:right w:val="none" w:sz="0" w:space="0" w:color="auto"/>
          </w:divBdr>
        </w:div>
        <w:div w:id="326594857">
          <w:marLeft w:val="432"/>
          <w:marRight w:val="0"/>
          <w:marTop w:val="115"/>
          <w:marBottom w:val="0"/>
          <w:divBdr>
            <w:top w:val="none" w:sz="0" w:space="0" w:color="auto"/>
            <w:left w:val="none" w:sz="0" w:space="0" w:color="auto"/>
            <w:bottom w:val="none" w:sz="0" w:space="0" w:color="auto"/>
            <w:right w:val="none" w:sz="0" w:space="0" w:color="auto"/>
          </w:divBdr>
        </w:div>
        <w:div w:id="1780367523">
          <w:marLeft w:val="432"/>
          <w:marRight w:val="0"/>
          <w:marTop w:val="115"/>
          <w:marBottom w:val="0"/>
          <w:divBdr>
            <w:top w:val="none" w:sz="0" w:space="0" w:color="auto"/>
            <w:left w:val="none" w:sz="0" w:space="0" w:color="auto"/>
            <w:bottom w:val="none" w:sz="0" w:space="0" w:color="auto"/>
            <w:right w:val="none" w:sz="0" w:space="0" w:color="auto"/>
          </w:divBdr>
        </w:div>
        <w:div w:id="1038353222">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scqipp.info/resources/send/61-oxycodone-mr/864-bulletin-52-oxycodone-m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urreyandsussex.nhs.uk/wp-content/uploads/2013/04/CQC-Safer-use-of-Controlled-Drugs-Preventing-harm-from-Oral-Oxycodone-preparations.pdf" TargetMode="External"/><Relationship Id="rId4" Type="http://schemas.openxmlformats.org/officeDocument/2006/relationships/settings" Target="settings.xml"/><Relationship Id="rId9" Type="http://schemas.openxmlformats.org/officeDocument/2006/relationships/hyperlink" Target="https://www.fpm.ac.uk/faculty-of-pain-medicine/opioids-aw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Jackie Campbell</cp:lastModifiedBy>
  <cp:revision>4</cp:revision>
  <dcterms:created xsi:type="dcterms:W3CDTF">2018-01-10T10:53:00Z</dcterms:created>
  <dcterms:modified xsi:type="dcterms:W3CDTF">2018-01-10T12:59:00Z</dcterms:modified>
</cp:coreProperties>
</file>