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DFAF1" w14:textId="1F4FF3ED" w:rsidR="00757641" w:rsidRDefault="0042491E" w:rsidP="00A775F6">
      <w:pPr>
        <w:spacing w:after="240"/>
        <w:rPr>
          <w:rFonts w:ascii="Verdana" w:hAnsi="Verdana"/>
          <w:color w:val="0072C6"/>
          <w:sz w:val="52"/>
          <w:szCs w:val="52"/>
        </w:rPr>
      </w:pPr>
      <w:r>
        <w:rPr>
          <w:rFonts w:ascii="Verdana" w:hAnsi="Verdana"/>
          <w:color w:val="0072C6"/>
          <w:sz w:val="52"/>
          <w:szCs w:val="52"/>
        </w:rPr>
        <w:t>Entry</w:t>
      </w:r>
      <w:r w:rsidR="00FE0995">
        <w:rPr>
          <w:rFonts w:ascii="Verdana" w:hAnsi="Verdana"/>
          <w:color w:val="0072C6"/>
          <w:sz w:val="52"/>
          <w:szCs w:val="52"/>
        </w:rPr>
        <w:t xml:space="preserve"> form</w:t>
      </w:r>
    </w:p>
    <w:tbl>
      <w:tblPr>
        <w:tblStyle w:val="TableGrid"/>
        <w:tblW w:w="0" w:type="auto"/>
        <w:jc w:val="center"/>
        <w:tblLook w:val="04A0" w:firstRow="1" w:lastRow="0" w:firstColumn="1" w:lastColumn="0" w:noHBand="0" w:noVBand="1"/>
      </w:tblPr>
      <w:tblGrid>
        <w:gridCol w:w="2518"/>
        <w:gridCol w:w="6762"/>
      </w:tblGrid>
      <w:tr w:rsidR="00FE0995" w14:paraId="0B2C2CF7" w14:textId="77777777" w:rsidTr="00216EEC">
        <w:trPr>
          <w:cantSplit/>
          <w:jc w:val="center"/>
        </w:trPr>
        <w:tc>
          <w:tcPr>
            <w:tcW w:w="2518" w:type="dxa"/>
            <w:shd w:val="clear" w:color="auto" w:fill="F2F2F2" w:themeFill="background1" w:themeFillShade="F2"/>
          </w:tcPr>
          <w:p w14:paraId="6980E70F"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Project name</w:t>
            </w:r>
          </w:p>
        </w:tc>
        <w:tc>
          <w:tcPr>
            <w:tcW w:w="6762" w:type="dxa"/>
          </w:tcPr>
          <w:p w14:paraId="112D1FDD" w14:textId="505E23B5" w:rsidR="00FE0995" w:rsidRDefault="00AC5E3F" w:rsidP="00FE0995">
            <w:pPr>
              <w:spacing w:before="120" w:after="120"/>
              <w:rPr>
                <w:rFonts w:ascii="Verdana" w:hAnsi="Verdana"/>
              </w:rPr>
            </w:pPr>
            <w:r>
              <w:rPr>
                <w:rFonts w:ascii="Verdana" w:hAnsi="Verdana"/>
              </w:rPr>
              <w:t xml:space="preserve">Medicines </w:t>
            </w:r>
            <w:proofErr w:type="spellStart"/>
            <w:r>
              <w:rPr>
                <w:rFonts w:ascii="Verdana" w:hAnsi="Verdana"/>
              </w:rPr>
              <w:t>Optimisation</w:t>
            </w:r>
            <w:proofErr w:type="spellEnd"/>
            <w:r>
              <w:rPr>
                <w:rFonts w:ascii="Verdana" w:hAnsi="Verdana"/>
              </w:rPr>
              <w:t xml:space="preserve"> in Care Homes</w:t>
            </w:r>
          </w:p>
        </w:tc>
      </w:tr>
      <w:tr w:rsidR="00FE0995" w14:paraId="68442CE6" w14:textId="77777777" w:rsidTr="00216EEC">
        <w:trPr>
          <w:cantSplit/>
          <w:jc w:val="center"/>
        </w:trPr>
        <w:tc>
          <w:tcPr>
            <w:tcW w:w="2518" w:type="dxa"/>
            <w:shd w:val="clear" w:color="auto" w:fill="F2F2F2" w:themeFill="background1" w:themeFillShade="F2"/>
          </w:tcPr>
          <w:p w14:paraId="38C5C4BD"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Organisation</w:t>
            </w:r>
          </w:p>
        </w:tc>
        <w:tc>
          <w:tcPr>
            <w:tcW w:w="6762" w:type="dxa"/>
          </w:tcPr>
          <w:p w14:paraId="16196BAB" w14:textId="468CB0F8" w:rsidR="00FE0995" w:rsidRDefault="00AC5E3F" w:rsidP="00FE0995">
            <w:pPr>
              <w:spacing w:before="120" w:after="120"/>
              <w:rPr>
                <w:rFonts w:ascii="Verdana" w:hAnsi="Verdana"/>
              </w:rPr>
            </w:pPr>
            <w:r>
              <w:rPr>
                <w:rFonts w:ascii="Verdana" w:hAnsi="Verdana"/>
              </w:rPr>
              <w:t>Mid Essex CCG</w:t>
            </w:r>
          </w:p>
        </w:tc>
      </w:tr>
      <w:tr w:rsidR="00FE0995" w14:paraId="0C7CF12F" w14:textId="77777777" w:rsidTr="00216EEC">
        <w:trPr>
          <w:cantSplit/>
          <w:jc w:val="center"/>
        </w:trPr>
        <w:tc>
          <w:tcPr>
            <w:tcW w:w="2518" w:type="dxa"/>
            <w:shd w:val="clear" w:color="auto" w:fill="F2F2F2" w:themeFill="background1" w:themeFillShade="F2"/>
          </w:tcPr>
          <w:p w14:paraId="1A7B7316"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Main contact name</w:t>
            </w:r>
          </w:p>
        </w:tc>
        <w:tc>
          <w:tcPr>
            <w:tcW w:w="6762" w:type="dxa"/>
          </w:tcPr>
          <w:p w14:paraId="0CFACC51" w14:textId="1E6DE83F" w:rsidR="00FE0995" w:rsidRDefault="00AC5E3F" w:rsidP="00FE0995">
            <w:pPr>
              <w:spacing w:before="120" w:after="120"/>
              <w:rPr>
                <w:rFonts w:ascii="Verdana" w:hAnsi="Verdana"/>
              </w:rPr>
            </w:pPr>
            <w:r>
              <w:rPr>
                <w:rFonts w:ascii="Verdana" w:hAnsi="Verdana"/>
              </w:rPr>
              <w:t>Paula Wilkinson</w:t>
            </w:r>
          </w:p>
        </w:tc>
      </w:tr>
      <w:tr w:rsidR="00FE0995" w14:paraId="6EEC3D72" w14:textId="77777777" w:rsidTr="00216EEC">
        <w:trPr>
          <w:cantSplit/>
          <w:jc w:val="center"/>
        </w:trPr>
        <w:tc>
          <w:tcPr>
            <w:tcW w:w="2518" w:type="dxa"/>
            <w:shd w:val="clear" w:color="auto" w:fill="F2F2F2" w:themeFill="background1" w:themeFillShade="F2"/>
          </w:tcPr>
          <w:p w14:paraId="303D3C91"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Main contact email</w:t>
            </w:r>
          </w:p>
        </w:tc>
        <w:tc>
          <w:tcPr>
            <w:tcW w:w="6762" w:type="dxa"/>
          </w:tcPr>
          <w:p w14:paraId="38494BC3" w14:textId="79737DAB" w:rsidR="00FE0995" w:rsidRDefault="00AC5E3F" w:rsidP="00FE0995">
            <w:pPr>
              <w:spacing w:before="120" w:after="120"/>
              <w:rPr>
                <w:rFonts w:ascii="Verdana" w:hAnsi="Verdana"/>
              </w:rPr>
            </w:pPr>
            <w:r>
              <w:rPr>
                <w:rFonts w:ascii="Verdana" w:hAnsi="Verdana"/>
              </w:rPr>
              <w:t>Paula.Wilkinson@nhs.net</w:t>
            </w:r>
          </w:p>
        </w:tc>
      </w:tr>
    </w:tbl>
    <w:p w14:paraId="2B39F55D" w14:textId="77777777" w:rsidR="0042491E" w:rsidRDefault="0042491E">
      <w:pPr>
        <w:jc w:val="center"/>
      </w:pPr>
    </w:p>
    <w:tbl>
      <w:tblPr>
        <w:tblStyle w:val="TableGrid"/>
        <w:tblW w:w="0" w:type="auto"/>
        <w:jc w:val="center"/>
        <w:tblLook w:val="04A0" w:firstRow="1" w:lastRow="0" w:firstColumn="1" w:lastColumn="0" w:noHBand="0" w:noVBand="1"/>
      </w:tblPr>
      <w:tblGrid>
        <w:gridCol w:w="2518"/>
        <w:gridCol w:w="6762"/>
      </w:tblGrid>
      <w:tr w:rsidR="00BE30A4" w14:paraId="20882D54" w14:textId="77777777" w:rsidTr="00BE30A4">
        <w:trPr>
          <w:cantSplit/>
          <w:jc w:val="center"/>
        </w:trPr>
        <w:tc>
          <w:tcPr>
            <w:tcW w:w="2518" w:type="dxa"/>
            <w:vMerge w:val="restart"/>
            <w:shd w:val="clear" w:color="auto" w:fill="F2F2F2" w:themeFill="background1" w:themeFillShade="F2"/>
            <w:vAlign w:val="center"/>
          </w:tcPr>
          <w:p w14:paraId="77FE34CC" w14:textId="166CB741" w:rsidR="00BE30A4" w:rsidRPr="00A775F6" w:rsidRDefault="00BE30A4" w:rsidP="00BE30A4">
            <w:pPr>
              <w:spacing w:before="120" w:after="120"/>
              <w:rPr>
                <w:rFonts w:ascii="Verdana" w:hAnsi="Verdana"/>
                <w:b/>
                <w:color w:val="595959" w:themeColor="text1" w:themeTint="A6"/>
              </w:rPr>
            </w:pPr>
            <w:r w:rsidRPr="00A775F6">
              <w:rPr>
                <w:rFonts w:ascii="Verdana" w:hAnsi="Verdana"/>
                <w:b/>
                <w:color w:val="595959" w:themeColor="text1" w:themeTint="A6"/>
              </w:rPr>
              <w:t>Category</w:t>
            </w:r>
            <w:r>
              <w:rPr>
                <w:rFonts w:ascii="Verdana" w:hAnsi="Verdana"/>
                <w:b/>
                <w:color w:val="595959" w:themeColor="text1" w:themeTint="A6"/>
              </w:rPr>
              <w:t xml:space="preserve"> </w:t>
            </w:r>
            <w:r w:rsidRPr="008571AD">
              <w:rPr>
                <w:rFonts w:ascii="Verdana" w:hAnsi="Verdana"/>
                <w:color w:val="595959" w:themeColor="text1" w:themeTint="A6"/>
              </w:rPr>
              <w:t>(delete as appropriate)</w:t>
            </w:r>
          </w:p>
        </w:tc>
        <w:tc>
          <w:tcPr>
            <w:tcW w:w="6762" w:type="dxa"/>
          </w:tcPr>
          <w:p w14:paraId="6E3C7602" w14:textId="06F8CDFE" w:rsidR="00BE30A4" w:rsidRDefault="007D0240" w:rsidP="00FE0995">
            <w:pPr>
              <w:spacing w:before="120" w:after="120"/>
              <w:rPr>
                <w:rFonts w:ascii="Verdana" w:hAnsi="Verdana"/>
              </w:rPr>
            </w:pPr>
            <w:r>
              <w:rPr>
                <w:rFonts w:ascii="Verdana" w:hAnsi="Verdana"/>
              </w:rPr>
              <w:t>Developing or working across ICS/STPs</w:t>
            </w:r>
          </w:p>
        </w:tc>
      </w:tr>
      <w:tr w:rsidR="00BE30A4" w14:paraId="460C249C" w14:textId="77777777" w:rsidTr="00216EEC">
        <w:trPr>
          <w:cantSplit/>
          <w:jc w:val="center"/>
        </w:trPr>
        <w:tc>
          <w:tcPr>
            <w:tcW w:w="2518" w:type="dxa"/>
            <w:vMerge/>
            <w:shd w:val="clear" w:color="auto" w:fill="F2F2F2" w:themeFill="background1" w:themeFillShade="F2"/>
          </w:tcPr>
          <w:p w14:paraId="23145B6E" w14:textId="77777777" w:rsidR="00BE30A4" w:rsidRPr="00A775F6" w:rsidRDefault="00BE30A4" w:rsidP="00FE0995">
            <w:pPr>
              <w:spacing w:before="120" w:after="120"/>
              <w:rPr>
                <w:rFonts w:ascii="Verdana" w:hAnsi="Verdana"/>
                <w:b/>
                <w:color w:val="595959" w:themeColor="text1" w:themeTint="A6"/>
              </w:rPr>
            </w:pPr>
          </w:p>
        </w:tc>
        <w:tc>
          <w:tcPr>
            <w:tcW w:w="6762" w:type="dxa"/>
          </w:tcPr>
          <w:p w14:paraId="5F04610D" w14:textId="5EA8FF95" w:rsidR="00BE30A4" w:rsidRDefault="00BE30A4" w:rsidP="00FE0995">
            <w:pPr>
              <w:spacing w:before="120" w:after="120"/>
              <w:rPr>
                <w:rFonts w:ascii="Verdana" w:hAnsi="Verdana"/>
              </w:rPr>
            </w:pPr>
          </w:p>
        </w:tc>
      </w:tr>
      <w:tr w:rsidR="00BE30A4" w14:paraId="359AE88B" w14:textId="77777777" w:rsidTr="00216EEC">
        <w:trPr>
          <w:cantSplit/>
          <w:jc w:val="center"/>
        </w:trPr>
        <w:tc>
          <w:tcPr>
            <w:tcW w:w="2518" w:type="dxa"/>
            <w:vMerge/>
            <w:shd w:val="clear" w:color="auto" w:fill="F2F2F2" w:themeFill="background1" w:themeFillShade="F2"/>
          </w:tcPr>
          <w:p w14:paraId="642F049C" w14:textId="77777777" w:rsidR="00BE30A4" w:rsidRPr="00A775F6" w:rsidRDefault="00BE30A4" w:rsidP="00FE0995">
            <w:pPr>
              <w:spacing w:before="120" w:after="120"/>
              <w:rPr>
                <w:rFonts w:ascii="Verdana" w:hAnsi="Verdana"/>
                <w:b/>
                <w:color w:val="595959" w:themeColor="text1" w:themeTint="A6"/>
              </w:rPr>
            </w:pPr>
          </w:p>
        </w:tc>
        <w:tc>
          <w:tcPr>
            <w:tcW w:w="6762" w:type="dxa"/>
          </w:tcPr>
          <w:p w14:paraId="7AD0C177" w14:textId="1461D7B7" w:rsidR="00BE30A4" w:rsidRDefault="00BE30A4" w:rsidP="00FE0995">
            <w:pPr>
              <w:spacing w:before="120" w:after="120"/>
              <w:rPr>
                <w:rFonts w:ascii="Verdana" w:hAnsi="Verdana"/>
              </w:rPr>
            </w:pPr>
          </w:p>
        </w:tc>
      </w:tr>
      <w:tr w:rsidR="00BE30A4" w14:paraId="70304CFC" w14:textId="77777777" w:rsidTr="00216EEC">
        <w:trPr>
          <w:cantSplit/>
          <w:jc w:val="center"/>
        </w:trPr>
        <w:tc>
          <w:tcPr>
            <w:tcW w:w="2518" w:type="dxa"/>
            <w:vMerge/>
            <w:shd w:val="clear" w:color="auto" w:fill="F2F2F2" w:themeFill="background1" w:themeFillShade="F2"/>
          </w:tcPr>
          <w:p w14:paraId="3004BEE5" w14:textId="77777777" w:rsidR="00BE30A4" w:rsidRPr="00A775F6" w:rsidRDefault="00BE30A4" w:rsidP="00FE0995">
            <w:pPr>
              <w:spacing w:before="120" w:after="120"/>
              <w:rPr>
                <w:rFonts w:ascii="Verdana" w:hAnsi="Verdana"/>
                <w:b/>
                <w:color w:val="595959" w:themeColor="text1" w:themeTint="A6"/>
              </w:rPr>
            </w:pPr>
          </w:p>
        </w:tc>
        <w:tc>
          <w:tcPr>
            <w:tcW w:w="6762" w:type="dxa"/>
          </w:tcPr>
          <w:p w14:paraId="411C27D1" w14:textId="194D7E5E" w:rsidR="00BE30A4" w:rsidRDefault="00BE30A4" w:rsidP="00FE0995">
            <w:pPr>
              <w:spacing w:before="120" w:after="120"/>
              <w:rPr>
                <w:rFonts w:ascii="Verdana" w:hAnsi="Verdana"/>
              </w:rPr>
            </w:pPr>
          </w:p>
        </w:tc>
      </w:tr>
      <w:tr w:rsidR="00BE30A4" w14:paraId="18D9E900" w14:textId="77777777" w:rsidTr="00216EEC">
        <w:trPr>
          <w:cantSplit/>
          <w:jc w:val="center"/>
        </w:trPr>
        <w:tc>
          <w:tcPr>
            <w:tcW w:w="2518" w:type="dxa"/>
            <w:vMerge/>
            <w:shd w:val="clear" w:color="auto" w:fill="F2F2F2" w:themeFill="background1" w:themeFillShade="F2"/>
          </w:tcPr>
          <w:p w14:paraId="47361FA7" w14:textId="77777777" w:rsidR="00BE30A4" w:rsidRPr="00A775F6" w:rsidRDefault="00BE30A4" w:rsidP="00FE0995">
            <w:pPr>
              <w:spacing w:before="120" w:after="120"/>
              <w:rPr>
                <w:rFonts w:ascii="Verdana" w:hAnsi="Verdana"/>
                <w:b/>
                <w:color w:val="595959" w:themeColor="text1" w:themeTint="A6"/>
              </w:rPr>
            </w:pPr>
          </w:p>
        </w:tc>
        <w:tc>
          <w:tcPr>
            <w:tcW w:w="6762" w:type="dxa"/>
          </w:tcPr>
          <w:p w14:paraId="02693319" w14:textId="089D4021" w:rsidR="00BE30A4" w:rsidRDefault="00BE30A4" w:rsidP="00FE0995">
            <w:pPr>
              <w:spacing w:before="120" w:after="120"/>
              <w:rPr>
                <w:rFonts w:ascii="Verdana" w:hAnsi="Verdana"/>
              </w:rPr>
            </w:pPr>
          </w:p>
        </w:tc>
      </w:tr>
    </w:tbl>
    <w:p w14:paraId="3AF9A647" w14:textId="77777777" w:rsidR="008571AD" w:rsidRDefault="008571AD">
      <w:pPr>
        <w:jc w:val="center"/>
      </w:pPr>
    </w:p>
    <w:tbl>
      <w:tblPr>
        <w:tblStyle w:val="TableGrid"/>
        <w:tblW w:w="0" w:type="auto"/>
        <w:jc w:val="center"/>
        <w:tblLook w:val="04A0" w:firstRow="1" w:lastRow="0" w:firstColumn="1" w:lastColumn="0" w:noHBand="0" w:noVBand="1"/>
      </w:tblPr>
      <w:tblGrid>
        <w:gridCol w:w="2518"/>
        <w:gridCol w:w="6762"/>
      </w:tblGrid>
      <w:tr w:rsidR="00FE0995" w14:paraId="3C5A72A1" w14:textId="77777777" w:rsidTr="00216EEC">
        <w:trPr>
          <w:cantSplit/>
          <w:jc w:val="center"/>
        </w:trPr>
        <w:tc>
          <w:tcPr>
            <w:tcW w:w="2518" w:type="dxa"/>
            <w:shd w:val="clear" w:color="auto" w:fill="F2F2F2" w:themeFill="background1" w:themeFillShade="F2"/>
          </w:tcPr>
          <w:p w14:paraId="233FBA12"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How does your project fit in to the category?</w:t>
            </w:r>
          </w:p>
        </w:tc>
        <w:tc>
          <w:tcPr>
            <w:tcW w:w="6762" w:type="dxa"/>
          </w:tcPr>
          <w:p w14:paraId="5ED2141D" w14:textId="7CFAB2BF" w:rsidR="00FE0995" w:rsidRDefault="00CE05E4" w:rsidP="00FE0995">
            <w:pPr>
              <w:spacing w:before="120" w:after="120"/>
              <w:rPr>
                <w:rFonts w:ascii="Verdana" w:hAnsi="Verdana"/>
              </w:rPr>
            </w:pPr>
            <w:r>
              <w:rPr>
                <w:rFonts w:ascii="Verdana" w:hAnsi="Verdana"/>
              </w:rPr>
              <w:t xml:space="preserve">We describe how a Medicines </w:t>
            </w:r>
            <w:proofErr w:type="spellStart"/>
            <w:r>
              <w:rPr>
                <w:rFonts w:ascii="Verdana" w:hAnsi="Verdana"/>
              </w:rPr>
              <w:t>Optimisation</w:t>
            </w:r>
            <w:proofErr w:type="spellEnd"/>
            <w:r>
              <w:rPr>
                <w:rFonts w:ascii="Verdana" w:hAnsi="Verdana"/>
              </w:rPr>
              <w:t xml:space="preserve"> in Care Home</w:t>
            </w:r>
            <w:r w:rsidR="00FA3727">
              <w:rPr>
                <w:rFonts w:ascii="Verdana" w:hAnsi="Verdana"/>
              </w:rPr>
              <w:t>s (MOCH)</w:t>
            </w:r>
            <w:r>
              <w:rPr>
                <w:rFonts w:ascii="Verdana" w:hAnsi="Verdana"/>
              </w:rPr>
              <w:t xml:space="preserve"> service was developed, commissioned and implemented across Mid and South Essex STP</w:t>
            </w:r>
            <w:r w:rsidR="00FA3727">
              <w:rPr>
                <w:rFonts w:ascii="Verdana" w:hAnsi="Verdana"/>
              </w:rPr>
              <w:t>.</w:t>
            </w:r>
          </w:p>
        </w:tc>
      </w:tr>
      <w:tr w:rsidR="00FE0995" w14:paraId="1CA4E16A" w14:textId="77777777" w:rsidTr="00216EEC">
        <w:trPr>
          <w:cantSplit/>
          <w:jc w:val="center"/>
        </w:trPr>
        <w:tc>
          <w:tcPr>
            <w:tcW w:w="2518" w:type="dxa"/>
            <w:shd w:val="clear" w:color="auto" w:fill="F2F2F2" w:themeFill="background1" w:themeFillShade="F2"/>
          </w:tcPr>
          <w:p w14:paraId="74EC5903" w14:textId="594D9893" w:rsidR="00FE0995" w:rsidRPr="00A775F6" w:rsidRDefault="00A775F6" w:rsidP="00FE0995">
            <w:pPr>
              <w:spacing w:before="120" w:after="120"/>
              <w:rPr>
                <w:rFonts w:ascii="Verdana" w:hAnsi="Verdana"/>
                <w:b/>
                <w:color w:val="595959" w:themeColor="text1" w:themeTint="A6"/>
              </w:rPr>
            </w:pPr>
            <w:r>
              <w:rPr>
                <w:rFonts w:ascii="Verdana" w:hAnsi="Verdana"/>
                <w:b/>
                <w:color w:val="595959" w:themeColor="text1" w:themeTint="A6"/>
              </w:rPr>
              <w:t>What is the project trying</w:t>
            </w:r>
            <w:r w:rsidR="0042491E">
              <w:rPr>
                <w:rFonts w:ascii="Verdana" w:hAnsi="Verdana"/>
                <w:b/>
                <w:color w:val="595959" w:themeColor="text1" w:themeTint="A6"/>
              </w:rPr>
              <w:t xml:space="preserve"> to</w:t>
            </w:r>
            <w:r>
              <w:rPr>
                <w:rFonts w:ascii="Verdana" w:hAnsi="Verdana"/>
                <w:b/>
                <w:color w:val="595959" w:themeColor="text1" w:themeTint="A6"/>
              </w:rPr>
              <w:t xml:space="preserve"> tackle or improve?</w:t>
            </w:r>
          </w:p>
        </w:tc>
        <w:tc>
          <w:tcPr>
            <w:tcW w:w="6762" w:type="dxa"/>
          </w:tcPr>
          <w:p w14:paraId="2A1FAFB8" w14:textId="38A8380E" w:rsidR="00FE0995" w:rsidRDefault="00FA3727" w:rsidP="00FE0995">
            <w:pPr>
              <w:spacing w:before="120" w:after="120"/>
              <w:rPr>
                <w:rFonts w:ascii="Verdana" w:hAnsi="Verdana"/>
              </w:rPr>
            </w:pPr>
            <w:r>
              <w:rPr>
                <w:rFonts w:ascii="Verdana" w:hAnsi="Verdana"/>
              </w:rPr>
              <w:t>The MOCH service was designed to tackle the lack of mental health support to care homes and ensure that the service integrated into existing pharmacy provision across the STP and avoided duplication of effort.</w:t>
            </w:r>
          </w:p>
        </w:tc>
      </w:tr>
      <w:tr w:rsidR="00A775F6" w14:paraId="2577745E" w14:textId="77777777" w:rsidTr="00216EEC">
        <w:trPr>
          <w:cantSplit/>
          <w:jc w:val="center"/>
        </w:trPr>
        <w:tc>
          <w:tcPr>
            <w:tcW w:w="2518" w:type="dxa"/>
            <w:shd w:val="clear" w:color="auto" w:fill="F2F2F2" w:themeFill="background1" w:themeFillShade="F2"/>
          </w:tcPr>
          <w:p w14:paraId="7C68627E" w14:textId="77777777" w:rsidR="00A775F6" w:rsidRDefault="00A775F6" w:rsidP="00FE0995">
            <w:pPr>
              <w:spacing w:before="120" w:after="120"/>
              <w:rPr>
                <w:rFonts w:ascii="Verdana" w:hAnsi="Verdana"/>
                <w:b/>
                <w:color w:val="595959" w:themeColor="text1" w:themeTint="A6"/>
              </w:rPr>
            </w:pPr>
            <w:r>
              <w:rPr>
                <w:rFonts w:ascii="Verdana" w:hAnsi="Verdana"/>
                <w:b/>
                <w:color w:val="595959" w:themeColor="text1" w:themeTint="A6"/>
              </w:rPr>
              <w:lastRenderedPageBreak/>
              <w:t>How innovative is your project?</w:t>
            </w:r>
          </w:p>
          <w:p w14:paraId="4B976473" w14:textId="4A9A6628" w:rsidR="00A775F6" w:rsidRDefault="00A775F6" w:rsidP="005F080F">
            <w:pPr>
              <w:spacing w:before="120" w:after="120"/>
              <w:rPr>
                <w:rFonts w:ascii="Verdana" w:hAnsi="Verdana"/>
                <w:b/>
                <w:color w:val="595959" w:themeColor="text1" w:themeTint="A6"/>
              </w:rPr>
            </w:pPr>
            <w:r>
              <w:rPr>
                <w:rFonts w:ascii="Verdana" w:hAnsi="Verdana"/>
                <w:b/>
                <w:color w:val="595959" w:themeColor="text1" w:themeTint="A6"/>
              </w:rPr>
              <w:t xml:space="preserve">Has it </w:t>
            </w:r>
            <w:r w:rsidR="009C0137">
              <w:rPr>
                <w:rFonts w:ascii="Verdana" w:hAnsi="Verdana"/>
                <w:b/>
                <w:color w:val="595959" w:themeColor="text1" w:themeTint="A6"/>
              </w:rPr>
              <w:t xml:space="preserve">been </w:t>
            </w:r>
            <w:r>
              <w:rPr>
                <w:rFonts w:ascii="Verdana" w:hAnsi="Verdana"/>
                <w:b/>
                <w:color w:val="595959" w:themeColor="text1" w:themeTint="A6"/>
              </w:rPr>
              <w:t xml:space="preserve">done before and if so </w:t>
            </w:r>
            <w:r w:rsidR="005F080F">
              <w:rPr>
                <w:rFonts w:ascii="Verdana" w:hAnsi="Verdana"/>
                <w:b/>
                <w:color w:val="595959" w:themeColor="text1" w:themeTint="A6"/>
              </w:rPr>
              <w:t>how is</w:t>
            </w:r>
            <w:r>
              <w:rPr>
                <w:rFonts w:ascii="Verdana" w:hAnsi="Verdana"/>
                <w:b/>
                <w:color w:val="595959" w:themeColor="text1" w:themeTint="A6"/>
              </w:rPr>
              <w:t xml:space="preserve"> your project</w:t>
            </w:r>
            <w:r w:rsidR="005F080F">
              <w:rPr>
                <w:rFonts w:ascii="Verdana" w:hAnsi="Verdana"/>
                <w:b/>
                <w:color w:val="595959" w:themeColor="text1" w:themeTint="A6"/>
              </w:rPr>
              <w:t xml:space="preserve"> different?</w:t>
            </w:r>
            <w:r>
              <w:rPr>
                <w:rFonts w:ascii="Verdana" w:hAnsi="Verdana"/>
                <w:b/>
                <w:color w:val="595959" w:themeColor="text1" w:themeTint="A6"/>
              </w:rPr>
              <w:t xml:space="preserve"> </w:t>
            </w:r>
          </w:p>
        </w:tc>
        <w:tc>
          <w:tcPr>
            <w:tcW w:w="6762" w:type="dxa"/>
          </w:tcPr>
          <w:p w14:paraId="09F5602E" w14:textId="5ADAD0DD" w:rsidR="00A775F6" w:rsidRPr="006B3122" w:rsidRDefault="00FA3727" w:rsidP="006B3122">
            <w:pPr>
              <w:jc w:val="both"/>
              <w:rPr>
                <w:rFonts w:ascii="Verdana" w:hAnsi="Verdana"/>
              </w:rPr>
            </w:pPr>
            <w:r w:rsidRPr="006B3122">
              <w:rPr>
                <w:rFonts w:ascii="Verdana" w:hAnsi="Verdana"/>
              </w:rPr>
              <w:t xml:space="preserve">The service specification was co-produced with partner </w:t>
            </w:r>
            <w:proofErr w:type="spellStart"/>
            <w:r w:rsidRPr="006B3122">
              <w:rPr>
                <w:rFonts w:ascii="Verdana" w:hAnsi="Verdana"/>
              </w:rPr>
              <w:t>organisations</w:t>
            </w:r>
            <w:proofErr w:type="spellEnd"/>
            <w:r w:rsidRPr="006B3122">
              <w:rPr>
                <w:rFonts w:ascii="Verdana" w:hAnsi="Verdana"/>
              </w:rPr>
              <w:t xml:space="preserve"> across the CCGs</w:t>
            </w:r>
            <w:r w:rsidR="006B3122">
              <w:rPr>
                <w:rFonts w:ascii="Verdana" w:hAnsi="Verdana"/>
              </w:rPr>
              <w:t>, including social services,</w:t>
            </w:r>
            <w:r w:rsidRPr="006B3122">
              <w:rPr>
                <w:rFonts w:ascii="Verdana" w:hAnsi="Verdana"/>
              </w:rPr>
              <w:t xml:space="preserve"> and tendered out in a shortened process due to pilot status.  The process was completed within a 3 month time frame.  From telephone discussions with other STPs across the country it became apparent that few had developed formal service specifications and/or tendered the service.  The service was specifically commissioned to address the lack on mental health expert pharmacist provision into care homes, and with a focus on shared decision making with families as well as patients.  The service is service </w:t>
            </w:r>
            <w:r w:rsidRPr="006B3122">
              <w:rPr>
                <w:rFonts w:ascii="Verdana" w:hAnsi="Verdana"/>
              </w:rPr>
              <w:t>involving face to face work in care homes is available between the hours of 10am and 8pm Monday to Friday (excluding Bank Hol</w:t>
            </w:r>
            <w:r w:rsidRPr="006B3122">
              <w:rPr>
                <w:rFonts w:ascii="Verdana" w:hAnsi="Verdana"/>
              </w:rPr>
              <w:t>idays).</w:t>
            </w:r>
            <w:r w:rsidRPr="006B3122">
              <w:rPr>
                <w:rFonts w:ascii="Verdana" w:hAnsi="Verdana"/>
              </w:rPr>
              <w:t xml:space="preserve">  These hours allow access to all care staff (day and evening/night staff) and family members who may not be able to visit during normal working hours, although recognising that a large proportion of the Service will be delivered between 10am and 5pm.  Professional pharmaceutical </w:t>
            </w:r>
            <w:r w:rsidRPr="006B3122">
              <w:rPr>
                <w:rFonts w:ascii="Verdana" w:hAnsi="Verdana"/>
              </w:rPr>
              <w:t>advice is</w:t>
            </w:r>
            <w:r w:rsidRPr="006B3122">
              <w:rPr>
                <w:rFonts w:ascii="Verdana" w:hAnsi="Verdana"/>
              </w:rPr>
              <w:t xml:space="preserve"> available to support residents and care home staff 7 days a week between the hours of 10am and 8pm)</w:t>
            </w:r>
            <w:r w:rsidRPr="006B3122">
              <w:rPr>
                <w:rFonts w:ascii="Verdana" w:hAnsi="Verdana"/>
              </w:rPr>
              <w:t xml:space="preserve"> using a dedicated Care Homes Pharmacy helpline, and links have been</w:t>
            </w:r>
            <w:r w:rsidRPr="006B3122">
              <w:rPr>
                <w:rFonts w:ascii="Verdana" w:hAnsi="Verdana"/>
              </w:rPr>
              <w:t xml:space="preserve"> established with the Integrated Urgent Care Provider for the STP (IC24) covering the OOH period.</w:t>
            </w:r>
          </w:p>
        </w:tc>
      </w:tr>
      <w:tr w:rsidR="005F080F" w14:paraId="0EC41A5A" w14:textId="77777777" w:rsidTr="00216EEC">
        <w:trPr>
          <w:cantSplit/>
          <w:jc w:val="center"/>
        </w:trPr>
        <w:tc>
          <w:tcPr>
            <w:tcW w:w="2518" w:type="dxa"/>
            <w:shd w:val="clear" w:color="auto" w:fill="F2F2F2" w:themeFill="background1" w:themeFillShade="F2"/>
          </w:tcPr>
          <w:p w14:paraId="72B801B4" w14:textId="77777777" w:rsidR="005F080F" w:rsidRDefault="005F080F" w:rsidP="00FE0995">
            <w:pPr>
              <w:spacing w:before="120" w:after="120"/>
              <w:rPr>
                <w:rFonts w:ascii="Verdana" w:hAnsi="Verdana"/>
                <w:b/>
                <w:color w:val="595959" w:themeColor="text1" w:themeTint="A6"/>
              </w:rPr>
            </w:pPr>
            <w:r>
              <w:rPr>
                <w:rFonts w:ascii="Verdana" w:hAnsi="Verdana"/>
                <w:b/>
                <w:color w:val="595959" w:themeColor="text1" w:themeTint="A6"/>
              </w:rPr>
              <w:t>How was the project established?</w:t>
            </w:r>
          </w:p>
        </w:tc>
        <w:tc>
          <w:tcPr>
            <w:tcW w:w="6762" w:type="dxa"/>
          </w:tcPr>
          <w:p w14:paraId="18264224" w14:textId="22CD768E" w:rsidR="005F080F" w:rsidRDefault="00FA3727" w:rsidP="00FE0995">
            <w:pPr>
              <w:spacing w:before="120" w:after="120"/>
              <w:rPr>
                <w:rFonts w:ascii="Verdana" w:hAnsi="Verdana"/>
              </w:rPr>
            </w:pPr>
            <w:r w:rsidRPr="006B3122">
              <w:rPr>
                <w:rFonts w:ascii="Verdana" w:hAnsi="Verdana"/>
              </w:rPr>
              <w:t xml:space="preserve">The project was established as part of the NHS England Medicines </w:t>
            </w:r>
            <w:proofErr w:type="spellStart"/>
            <w:r w:rsidRPr="006B3122">
              <w:rPr>
                <w:rFonts w:ascii="Verdana" w:hAnsi="Verdana"/>
              </w:rPr>
              <w:t>Optimisation</w:t>
            </w:r>
            <w:proofErr w:type="spellEnd"/>
            <w:r w:rsidRPr="006B3122">
              <w:rPr>
                <w:rFonts w:ascii="Verdana" w:hAnsi="Verdana"/>
              </w:rPr>
              <w:t xml:space="preserve"> in Care Homes Pilots.</w:t>
            </w:r>
          </w:p>
        </w:tc>
      </w:tr>
      <w:tr w:rsidR="005F080F" w14:paraId="188B1D77" w14:textId="77777777" w:rsidTr="00216EEC">
        <w:trPr>
          <w:cantSplit/>
          <w:jc w:val="center"/>
        </w:trPr>
        <w:tc>
          <w:tcPr>
            <w:tcW w:w="2518" w:type="dxa"/>
            <w:shd w:val="clear" w:color="auto" w:fill="F2F2F2" w:themeFill="background1" w:themeFillShade="F2"/>
          </w:tcPr>
          <w:p w14:paraId="143395D0" w14:textId="77777777" w:rsidR="005F080F" w:rsidRDefault="005F080F" w:rsidP="00FE0995">
            <w:pPr>
              <w:spacing w:before="120" w:after="120"/>
              <w:rPr>
                <w:rFonts w:ascii="Verdana" w:hAnsi="Verdana"/>
                <w:b/>
                <w:color w:val="595959" w:themeColor="text1" w:themeTint="A6"/>
              </w:rPr>
            </w:pPr>
            <w:r>
              <w:rPr>
                <w:rFonts w:ascii="Verdana" w:hAnsi="Verdana"/>
                <w:b/>
                <w:color w:val="595959" w:themeColor="text1" w:themeTint="A6"/>
              </w:rPr>
              <w:t>Who are the main beneficiaries and how will they benefit?</w:t>
            </w:r>
          </w:p>
        </w:tc>
        <w:tc>
          <w:tcPr>
            <w:tcW w:w="6762" w:type="dxa"/>
          </w:tcPr>
          <w:p w14:paraId="1A06F8FF" w14:textId="4512A7F6" w:rsidR="005F080F" w:rsidRDefault="00FA3727" w:rsidP="00FE0995">
            <w:pPr>
              <w:spacing w:before="120" w:after="120"/>
              <w:rPr>
                <w:rFonts w:ascii="Verdana" w:hAnsi="Verdana"/>
              </w:rPr>
            </w:pPr>
            <w:r>
              <w:rPr>
                <w:rFonts w:ascii="Verdana" w:hAnsi="Verdana"/>
              </w:rPr>
              <w:t>Residents in care homes and care home staff as they have access to pharmacist and pharmacy technicians</w:t>
            </w:r>
            <w:r w:rsidR="006B3122">
              <w:rPr>
                <w:rFonts w:ascii="Verdana" w:hAnsi="Verdana"/>
              </w:rPr>
              <w:t xml:space="preserve">; GP practices as the service reduces the demand on GPs and their staff.  The MOCH </w:t>
            </w:r>
            <w:proofErr w:type="gramStart"/>
            <w:r w:rsidR="006B3122">
              <w:rPr>
                <w:rFonts w:ascii="Verdana" w:hAnsi="Verdana"/>
              </w:rPr>
              <w:t>team have</w:t>
            </w:r>
            <w:proofErr w:type="gramEnd"/>
            <w:r w:rsidR="006B3122">
              <w:rPr>
                <w:rFonts w:ascii="Verdana" w:hAnsi="Verdana"/>
              </w:rPr>
              <w:t xml:space="preserve"> data sharing agreements with the GP practices and can access the patient records remotely and have permissions to prescribe medication if needed.</w:t>
            </w:r>
          </w:p>
        </w:tc>
      </w:tr>
      <w:tr w:rsidR="005F080F" w14:paraId="3840482D" w14:textId="77777777" w:rsidTr="00216EEC">
        <w:trPr>
          <w:cantSplit/>
          <w:jc w:val="center"/>
        </w:trPr>
        <w:tc>
          <w:tcPr>
            <w:tcW w:w="2518" w:type="dxa"/>
            <w:shd w:val="clear" w:color="auto" w:fill="F2F2F2" w:themeFill="background1" w:themeFillShade="F2"/>
          </w:tcPr>
          <w:p w14:paraId="2BF61501" w14:textId="77777777" w:rsidR="005F080F" w:rsidRDefault="002A73DC" w:rsidP="002A73DC">
            <w:pPr>
              <w:spacing w:before="120" w:after="120"/>
              <w:rPr>
                <w:rFonts w:ascii="Verdana" w:hAnsi="Verdana"/>
                <w:b/>
                <w:color w:val="595959" w:themeColor="text1" w:themeTint="A6"/>
              </w:rPr>
            </w:pPr>
            <w:r>
              <w:rPr>
                <w:rFonts w:ascii="Verdana" w:hAnsi="Verdana"/>
                <w:b/>
                <w:color w:val="595959" w:themeColor="text1" w:themeTint="A6"/>
              </w:rPr>
              <w:lastRenderedPageBreak/>
              <w:t xml:space="preserve">What were the main outcomes and/or achievements? </w:t>
            </w:r>
          </w:p>
        </w:tc>
        <w:tc>
          <w:tcPr>
            <w:tcW w:w="6762" w:type="dxa"/>
          </w:tcPr>
          <w:p w14:paraId="783B5F67" w14:textId="33A7900C" w:rsidR="005F080F" w:rsidRDefault="006B3122" w:rsidP="00FE0995">
            <w:pPr>
              <w:spacing w:before="120" w:after="120"/>
              <w:rPr>
                <w:rFonts w:ascii="Verdana" w:hAnsi="Verdana"/>
              </w:rPr>
            </w:pPr>
            <w:r>
              <w:rPr>
                <w:rFonts w:ascii="Verdana" w:hAnsi="Verdana"/>
              </w:rPr>
              <w:t>Care homes have access to pharmaceutical advice through the helpline and support for their residents, reducing hospital admissions, reducing harm from medication and improving patient experience.</w:t>
            </w:r>
          </w:p>
          <w:p w14:paraId="1A9098BD" w14:textId="466A53EC" w:rsidR="006B3122" w:rsidRDefault="006B3122" w:rsidP="00FE0995">
            <w:pPr>
              <w:spacing w:before="120" w:after="120"/>
              <w:rPr>
                <w:rFonts w:ascii="Verdana" w:hAnsi="Verdana"/>
              </w:rPr>
            </w:pPr>
            <w:r>
              <w:rPr>
                <w:rFonts w:ascii="Verdana" w:hAnsi="Verdana"/>
              </w:rPr>
              <w:t>Patients have medication reviews undertaken, on a stratified risk basis using anticholinergic burden and other risk assessment tools.  As the project is mental health and dementia focused, patients prescribed antipsychotics and other behavior controlling medications are targeted for review.</w:t>
            </w:r>
          </w:p>
        </w:tc>
      </w:tr>
      <w:tr w:rsidR="002A73DC" w14:paraId="34C4C575" w14:textId="77777777" w:rsidTr="00216EEC">
        <w:trPr>
          <w:cantSplit/>
          <w:jc w:val="center"/>
        </w:trPr>
        <w:tc>
          <w:tcPr>
            <w:tcW w:w="2518" w:type="dxa"/>
            <w:shd w:val="clear" w:color="auto" w:fill="F2F2F2" w:themeFill="background1" w:themeFillShade="F2"/>
          </w:tcPr>
          <w:p w14:paraId="151DC50F" w14:textId="10E31234" w:rsidR="002A73DC" w:rsidRDefault="002A73DC" w:rsidP="002A73DC">
            <w:pPr>
              <w:spacing w:before="120" w:after="120"/>
              <w:rPr>
                <w:rFonts w:ascii="Verdana" w:hAnsi="Verdana"/>
                <w:b/>
                <w:color w:val="595959" w:themeColor="text1" w:themeTint="A6"/>
              </w:rPr>
            </w:pPr>
            <w:r>
              <w:rPr>
                <w:rFonts w:ascii="Verdana" w:hAnsi="Verdana"/>
                <w:b/>
                <w:color w:val="595959" w:themeColor="text1" w:themeTint="A6"/>
              </w:rPr>
              <w:t xml:space="preserve">How easily could other </w:t>
            </w:r>
            <w:proofErr w:type="spellStart"/>
            <w:r>
              <w:rPr>
                <w:rFonts w:ascii="Verdana" w:hAnsi="Verdana"/>
                <w:b/>
                <w:color w:val="595959" w:themeColor="text1" w:themeTint="A6"/>
              </w:rPr>
              <w:t>organisation</w:t>
            </w:r>
            <w:r w:rsidR="0042491E">
              <w:rPr>
                <w:rFonts w:ascii="Verdana" w:hAnsi="Verdana"/>
                <w:b/>
                <w:color w:val="595959" w:themeColor="text1" w:themeTint="A6"/>
              </w:rPr>
              <w:t>s</w:t>
            </w:r>
            <w:proofErr w:type="spellEnd"/>
            <w:r>
              <w:rPr>
                <w:rFonts w:ascii="Verdana" w:hAnsi="Verdana"/>
                <w:b/>
                <w:color w:val="595959" w:themeColor="text1" w:themeTint="A6"/>
              </w:rPr>
              <w:t xml:space="preserve"> replicate the project?</w:t>
            </w:r>
          </w:p>
        </w:tc>
        <w:tc>
          <w:tcPr>
            <w:tcW w:w="6762" w:type="dxa"/>
          </w:tcPr>
          <w:p w14:paraId="321D9AB4" w14:textId="623C0DD4" w:rsidR="002A73DC" w:rsidRDefault="006B3122" w:rsidP="00FE0995">
            <w:pPr>
              <w:spacing w:before="120" w:after="120"/>
              <w:rPr>
                <w:rFonts w:ascii="Verdana" w:hAnsi="Verdana"/>
              </w:rPr>
            </w:pPr>
            <w:r>
              <w:rPr>
                <w:rFonts w:ascii="Verdana" w:hAnsi="Verdana"/>
              </w:rPr>
              <w:t>As the service commissioned has a robust service specification, it would be easy to replicate this project as other CCG could commission the same service.</w:t>
            </w:r>
          </w:p>
        </w:tc>
      </w:tr>
      <w:tr w:rsidR="002A73DC" w14:paraId="75A11E5C" w14:textId="77777777" w:rsidTr="00216EEC">
        <w:trPr>
          <w:cantSplit/>
          <w:jc w:val="center"/>
        </w:trPr>
        <w:tc>
          <w:tcPr>
            <w:tcW w:w="2518" w:type="dxa"/>
            <w:shd w:val="clear" w:color="auto" w:fill="F2F2F2" w:themeFill="background1" w:themeFillShade="F2"/>
          </w:tcPr>
          <w:p w14:paraId="7BD7D9B7" w14:textId="77777777" w:rsidR="002A73DC" w:rsidRDefault="002A73DC" w:rsidP="002A73DC">
            <w:pPr>
              <w:spacing w:before="120" w:after="120"/>
              <w:rPr>
                <w:rFonts w:ascii="Verdana" w:hAnsi="Verdana"/>
                <w:b/>
                <w:color w:val="595959" w:themeColor="text1" w:themeTint="A6"/>
              </w:rPr>
            </w:pPr>
            <w:r>
              <w:rPr>
                <w:rFonts w:ascii="Verdana" w:hAnsi="Verdana"/>
                <w:b/>
                <w:color w:val="595959" w:themeColor="text1" w:themeTint="A6"/>
              </w:rPr>
              <w:t>What resources were required for the project?</w:t>
            </w:r>
          </w:p>
        </w:tc>
        <w:tc>
          <w:tcPr>
            <w:tcW w:w="6762" w:type="dxa"/>
          </w:tcPr>
          <w:p w14:paraId="22C834DF" w14:textId="34EB5B01" w:rsidR="002A73DC" w:rsidRDefault="006B3122" w:rsidP="00FE0995">
            <w:pPr>
              <w:spacing w:before="120" w:after="120"/>
              <w:rPr>
                <w:rFonts w:ascii="Verdana" w:hAnsi="Verdana"/>
              </w:rPr>
            </w:pPr>
            <w:r>
              <w:rPr>
                <w:rFonts w:ascii="Verdana" w:hAnsi="Verdana"/>
              </w:rPr>
              <w:t>Funding obtained from the NHSE pilot; CCGs supporting underwriting the funding gap, based on anticipated savings from medicines waste; project/contract management; IT support.</w:t>
            </w:r>
          </w:p>
        </w:tc>
      </w:tr>
      <w:tr w:rsidR="002A73DC" w14:paraId="20353B37" w14:textId="77777777" w:rsidTr="00216EEC">
        <w:trPr>
          <w:cantSplit/>
          <w:jc w:val="center"/>
        </w:trPr>
        <w:tc>
          <w:tcPr>
            <w:tcW w:w="2518" w:type="dxa"/>
            <w:shd w:val="clear" w:color="auto" w:fill="F2F2F2" w:themeFill="background1" w:themeFillShade="F2"/>
          </w:tcPr>
          <w:p w14:paraId="411696F9" w14:textId="77777777" w:rsidR="002A73DC" w:rsidRDefault="002A73DC" w:rsidP="002A73DC">
            <w:pPr>
              <w:spacing w:before="120" w:after="120"/>
              <w:rPr>
                <w:rFonts w:ascii="Verdana" w:hAnsi="Verdana"/>
                <w:b/>
                <w:color w:val="595959" w:themeColor="text1" w:themeTint="A6"/>
              </w:rPr>
            </w:pPr>
            <w:r>
              <w:rPr>
                <w:rFonts w:ascii="Verdana" w:hAnsi="Verdana"/>
                <w:b/>
                <w:color w:val="595959" w:themeColor="text1" w:themeTint="A6"/>
              </w:rPr>
              <w:t>What was the return on investment?</w:t>
            </w:r>
          </w:p>
        </w:tc>
        <w:tc>
          <w:tcPr>
            <w:tcW w:w="6762" w:type="dxa"/>
          </w:tcPr>
          <w:p w14:paraId="1AAAA97F" w14:textId="440EF8CC" w:rsidR="002A73DC" w:rsidRDefault="006B3122" w:rsidP="00FE0995">
            <w:pPr>
              <w:spacing w:before="120" w:after="120"/>
              <w:rPr>
                <w:rFonts w:ascii="Verdana" w:hAnsi="Verdana"/>
              </w:rPr>
            </w:pPr>
            <w:r>
              <w:rPr>
                <w:rFonts w:ascii="Verdana" w:hAnsi="Verdana"/>
              </w:rPr>
              <w:t>Based on work done previously in care homes on medication review, return is at least £3 for every £ spent if not more.</w:t>
            </w:r>
          </w:p>
        </w:tc>
      </w:tr>
      <w:tr w:rsidR="00216EEC" w14:paraId="48EBBEA6" w14:textId="77777777" w:rsidTr="00216EEC">
        <w:trPr>
          <w:cantSplit/>
          <w:jc w:val="center"/>
        </w:trPr>
        <w:tc>
          <w:tcPr>
            <w:tcW w:w="2518" w:type="dxa"/>
            <w:shd w:val="clear" w:color="auto" w:fill="F2F2F2" w:themeFill="background1" w:themeFillShade="F2"/>
          </w:tcPr>
          <w:p w14:paraId="352D6ACC" w14:textId="7097A77F" w:rsidR="00216EEC" w:rsidRPr="002A7778" w:rsidRDefault="002A7778" w:rsidP="002A73DC">
            <w:pPr>
              <w:spacing w:before="120" w:after="120"/>
              <w:rPr>
                <w:rFonts w:ascii="Verdana" w:hAnsi="Verdana"/>
                <w:b/>
                <w:color w:val="595959" w:themeColor="text1" w:themeTint="A6"/>
              </w:rPr>
            </w:pPr>
            <w:r w:rsidRPr="002A7778">
              <w:rPr>
                <w:rFonts w:ascii="Verdana" w:hAnsi="Verdana"/>
                <w:b/>
              </w:rPr>
              <w:lastRenderedPageBreak/>
              <w:t>Is there any additional information that you would like to provide to supplement this entry?</w:t>
            </w:r>
            <w:r w:rsidR="0042491E">
              <w:rPr>
                <w:rFonts w:ascii="Verdana" w:hAnsi="Verdana"/>
                <w:b/>
              </w:rPr>
              <w:t>*</w:t>
            </w:r>
          </w:p>
        </w:tc>
        <w:tc>
          <w:tcPr>
            <w:tcW w:w="6762" w:type="dxa"/>
          </w:tcPr>
          <w:p w14:paraId="26446DEC" w14:textId="77777777" w:rsidR="00216EEC" w:rsidRDefault="006B3122" w:rsidP="00FE0995">
            <w:pPr>
              <w:spacing w:before="120" w:after="120"/>
              <w:rPr>
                <w:rFonts w:ascii="Verdana" w:hAnsi="Verdana"/>
              </w:rPr>
            </w:pPr>
            <w:r>
              <w:rPr>
                <w:rFonts w:ascii="Verdana" w:hAnsi="Verdana"/>
              </w:rPr>
              <w:t>The service is designed to avoid duplication of work</w:t>
            </w:r>
            <w:r w:rsidR="009D246D">
              <w:rPr>
                <w:rFonts w:ascii="Verdana" w:hAnsi="Verdana"/>
              </w:rPr>
              <w:t xml:space="preserve"> and act as the ‘glue’ between care homes and primary care and secondary care</w:t>
            </w:r>
            <w:r>
              <w:rPr>
                <w:rFonts w:ascii="Verdana" w:hAnsi="Verdana"/>
              </w:rPr>
              <w:t>.  Whilst some medication review</w:t>
            </w:r>
            <w:r w:rsidR="00126614">
              <w:rPr>
                <w:rFonts w:ascii="Verdana" w:hAnsi="Verdana"/>
              </w:rPr>
              <w:t>s</w:t>
            </w:r>
            <w:r>
              <w:rPr>
                <w:rFonts w:ascii="Verdana" w:hAnsi="Verdana"/>
              </w:rPr>
              <w:t xml:space="preserve"> may be carried out in care homes, the aim is that practice pharmacists carry out the detailed reviews, </w:t>
            </w:r>
            <w:r w:rsidR="00126614">
              <w:rPr>
                <w:rFonts w:ascii="Verdana" w:hAnsi="Verdana"/>
              </w:rPr>
              <w:t xml:space="preserve">inform the MOCH team of the outcomes </w:t>
            </w:r>
            <w:r>
              <w:rPr>
                <w:rFonts w:ascii="Verdana" w:hAnsi="Verdana"/>
              </w:rPr>
              <w:t>and the MOCH team spend time face to face with residents and staff in the care homes implementing the changes, improving governance and safety of medicines, medicines waste and patient experience.  The service was recognized by CQC during one visit to a care home, and mentioned in the report.</w:t>
            </w:r>
            <w:r w:rsidR="009D246D">
              <w:rPr>
                <w:rFonts w:ascii="Verdana" w:hAnsi="Verdana"/>
              </w:rPr>
              <w:t xml:space="preserve">  The MOCH </w:t>
            </w:r>
            <w:proofErr w:type="gramStart"/>
            <w:r w:rsidR="009D246D">
              <w:rPr>
                <w:rFonts w:ascii="Verdana" w:hAnsi="Verdana"/>
              </w:rPr>
              <w:t>team are</w:t>
            </w:r>
            <w:proofErr w:type="gramEnd"/>
            <w:r w:rsidR="009D246D">
              <w:rPr>
                <w:rFonts w:ascii="Verdana" w:hAnsi="Verdana"/>
              </w:rPr>
              <w:t xml:space="preserve"> now receiving referrals from a range of healthcare professionals, and we are receiving many positive reports about the work of the team.  The work of the pharmacy technicians is particularly recognized in improving ordering processes and reducing waste.</w:t>
            </w:r>
          </w:p>
          <w:p w14:paraId="5C23F9B2" w14:textId="77777777" w:rsidR="009D246D" w:rsidRDefault="009D246D" w:rsidP="00FE0995">
            <w:pPr>
              <w:spacing w:before="120" w:after="120"/>
              <w:rPr>
                <w:rFonts w:ascii="Verdana" w:hAnsi="Verdana"/>
              </w:rPr>
            </w:pPr>
            <w:r>
              <w:rPr>
                <w:rFonts w:ascii="Verdana" w:hAnsi="Verdana"/>
              </w:rPr>
              <w:t>The MOCH team is now an integral member of the wider team of care staff supporting care homes across the STP.  They attend regular QISM (quality team meetings) run by Essex County Council in both north and south Essex, which are also attended by CCG quality team nurses and CHC nurses, along with community nurses and social and care staff.  The MOCH team are also working with secondary care-hospital pharmacists- to develop a system of referrals prior to discharge, and also working closely with community pharmacy- see MOCH dashboard.</w:t>
            </w:r>
          </w:p>
          <w:p w14:paraId="10A7062F" w14:textId="77777777" w:rsidR="00E61A3D" w:rsidRDefault="00E61A3D" w:rsidP="00FE0995">
            <w:pPr>
              <w:spacing w:before="120" w:after="120"/>
              <w:rPr>
                <w:rFonts w:ascii="Verdana" w:hAnsi="Verdana"/>
              </w:rPr>
            </w:pPr>
            <w:r>
              <w:rPr>
                <w:rFonts w:ascii="Verdana" w:hAnsi="Verdana"/>
              </w:rPr>
              <w:t>The mental health pharmacist is supporting the wider team in focusing on dementia and mental health issues, and supports GPs in reviewing specialist mental health medicines and de-prescribing when appropriate- liaising with the local mental health trust which covers the STP to ensure joined up working.</w:t>
            </w:r>
          </w:p>
          <w:p w14:paraId="2A66E855" w14:textId="23CEBA6D" w:rsidR="00E61A3D" w:rsidRDefault="00E61A3D" w:rsidP="00FE0995">
            <w:pPr>
              <w:spacing w:before="120" w:after="120"/>
              <w:rPr>
                <w:rFonts w:ascii="Verdana" w:hAnsi="Verdana"/>
              </w:rPr>
            </w:pPr>
            <w:r>
              <w:rPr>
                <w:rFonts w:ascii="Verdana" w:hAnsi="Verdana"/>
              </w:rPr>
              <w:t xml:space="preserve">Essex has established an Essex Pharmacy Network for senior pharmacists from all providers and commissioners across Essex, all of whom </w:t>
            </w:r>
            <w:proofErr w:type="gramStart"/>
            <w:r>
              <w:rPr>
                <w:rFonts w:ascii="Verdana" w:hAnsi="Verdana"/>
              </w:rPr>
              <w:t>are</w:t>
            </w:r>
            <w:proofErr w:type="gramEnd"/>
            <w:r>
              <w:rPr>
                <w:rFonts w:ascii="Verdana" w:hAnsi="Verdana"/>
              </w:rPr>
              <w:t xml:space="preserve"> regularly briefed on work done by the MOCH and provide support.  Essex is fortunate to have a pharmacist within the local authority to support this work.</w:t>
            </w:r>
            <w:bookmarkStart w:id="0" w:name="_GoBack"/>
            <w:bookmarkEnd w:id="0"/>
          </w:p>
        </w:tc>
      </w:tr>
    </w:tbl>
    <w:p w14:paraId="2D66A10F" w14:textId="2A39BA2C" w:rsidR="0042491E" w:rsidRPr="007200CE" w:rsidRDefault="0042491E" w:rsidP="009C0137">
      <w:pPr>
        <w:pStyle w:val="CommentText"/>
        <w:spacing w:before="120" w:after="120"/>
        <w:rPr>
          <w:rFonts w:ascii="Verdana" w:hAnsi="Verdana"/>
          <w:sz w:val="24"/>
          <w:szCs w:val="24"/>
        </w:rPr>
      </w:pPr>
      <w:r w:rsidRPr="007200CE">
        <w:rPr>
          <w:rFonts w:ascii="Verdana" w:hAnsi="Verdana"/>
          <w:sz w:val="24"/>
          <w:szCs w:val="24"/>
        </w:rPr>
        <w:t xml:space="preserve">* </w:t>
      </w:r>
      <w:r w:rsidRPr="007200CE">
        <w:rPr>
          <w:rStyle w:val="CommentReference"/>
          <w:rFonts w:ascii="Verdana" w:hAnsi="Verdana"/>
          <w:sz w:val="24"/>
          <w:szCs w:val="24"/>
        </w:rPr>
        <w:t/>
      </w:r>
      <w:r w:rsidRPr="007200CE">
        <w:rPr>
          <w:rFonts w:ascii="Verdana" w:hAnsi="Verdana"/>
          <w:sz w:val="24"/>
          <w:szCs w:val="24"/>
        </w:rPr>
        <w:t xml:space="preserve">You can attach additional documents e.g. business case, template letters, or audits when you </w:t>
      </w:r>
      <w:r w:rsidR="009C0137">
        <w:rPr>
          <w:rFonts w:ascii="Verdana" w:hAnsi="Verdana"/>
          <w:sz w:val="24"/>
          <w:szCs w:val="24"/>
        </w:rPr>
        <w:t xml:space="preserve">complete your online submission here: </w:t>
      </w:r>
    </w:p>
    <w:p w14:paraId="36DA3E69" w14:textId="006D8DE4" w:rsidR="00216EEC" w:rsidRDefault="00E61A3D" w:rsidP="00FE0995">
      <w:pPr>
        <w:spacing w:before="120" w:after="120"/>
        <w:rPr>
          <w:rFonts w:ascii="Verdana" w:hAnsi="Verdana"/>
        </w:rPr>
      </w:pPr>
      <w:hyperlink r:id="rId7" w:history="1">
        <w:r w:rsidR="007200CE" w:rsidRPr="00210470">
          <w:rPr>
            <w:rStyle w:val="Hyperlink"/>
            <w:rFonts w:ascii="Verdana" w:hAnsi="Verdana"/>
          </w:rPr>
          <w:t>https://www.prescqipp.info/community-resources/annual-event-and-innovation-awards/enter-the-awards/</w:t>
        </w:r>
      </w:hyperlink>
      <w:r w:rsidR="007200CE">
        <w:rPr>
          <w:rFonts w:ascii="Verdana" w:hAnsi="Verdana"/>
        </w:rPr>
        <w:t xml:space="preserve"> </w:t>
      </w:r>
    </w:p>
    <w:tbl>
      <w:tblPr>
        <w:tblStyle w:val="TableGrid"/>
        <w:tblW w:w="0" w:type="auto"/>
        <w:jc w:val="center"/>
        <w:tblLook w:val="04A0" w:firstRow="1" w:lastRow="0" w:firstColumn="1" w:lastColumn="0" w:noHBand="0" w:noVBand="1"/>
      </w:tblPr>
      <w:tblGrid>
        <w:gridCol w:w="7054"/>
        <w:gridCol w:w="1113"/>
        <w:gridCol w:w="1113"/>
      </w:tblGrid>
      <w:tr w:rsidR="002A7778" w14:paraId="74D4DF26" w14:textId="77777777" w:rsidTr="002A7778">
        <w:trPr>
          <w:cantSplit/>
          <w:jc w:val="center"/>
        </w:trPr>
        <w:tc>
          <w:tcPr>
            <w:tcW w:w="7054" w:type="dxa"/>
            <w:shd w:val="clear" w:color="auto" w:fill="CDE2F1"/>
          </w:tcPr>
          <w:p w14:paraId="6D9918FC" w14:textId="69D4739E" w:rsidR="002A7778" w:rsidRPr="00D24644" w:rsidRDefault="002A7778" w:rsidP="00216EEC">
            <w:pPr>
              <w:spacing w:before="120" w:after="120"/>
              <w:rPr>
                <w:rFonts w:ascii="Verdana" w:hAnsi="Verdana"/>
                <w:color w:val="595959" w:themeColor="text1" w:themeTint="A6"/>
              </w:rPr>
            </w:pPr>
            <w:r w:rsidRPr="009C0137">
              <w:rPr>
                <w:rFonts w:ascii="Verdana" w:hAnsi="Verdana"/>
                <w:b/>
                <w:color w:val="595959" w:themeColor="text1" w:themeTint="A6"/>
              </w:rPr>
              <w:t xml:space="preserve">If you win an award would you be willing to give an eight minute </w:t>
            </w:r>
            <w:r w:rsidR="0042491E" w:rsidRPr="009C0137">
              <w:rPr>
                <w:rFonts w:ascii="Verdana" w:hAnsi="Verdana"/>
                <w:b/>
                <w:color w:val="595959" w:themeColor="text1" w:themeTint="A6"/>
              </w:rPr>
              <w:t>presentation</w:t>
            </w:r>
            <w:r w:rsidRPr="009C0137">
              <w:rPr>
                <w:rFonts w:ascii="Verdana" w:hAnsi="Verdana"/>
                <w:b/>
                <w:color w:val="595959" w:themeColor="text1" w:themeTint="A6"/>
              </w:rPr>
              <w:t xml:space="preserve"> at the PrescQIPP Annual Event on 5 November?</w:t>
            </w:r>
            <w:r w:rsidR="00D24644" w:rsidRPr="00D24644">
              <w:rPr>
                <w:rFonts w:ascii="Verdana" w:hAnsi="Verdana"/>
                <w:color w:val="595959" w:themeColor="text1" w:themeTint="A6"/>
              </w:rPr>
              <w:t xml:space="preserve"> (Delete as appropriate)</w:t>
            </w:r>
          </w:p>
        </w:tc>
        <w:tc>
          <w:tcPr>
            <w:tcW w:w="1113" w:type="dxa"/>
            <w:vAlign w:val="center"/>
          </w:tcPr>
          <w:p w14:paraId="25606965" w14:textId="77777777" w:rsidR="002A7778" w:rsidRDefault="002A7778" w:rsidP="002A7778">
            <w:pPr>
              <w:spacing w:before="120" w:after="120"/>
              <w:jc w:val="center"/>
              <w:rPr>
                <w:rFonts w:ascii="Verdana" w:hAnsi="Verdana"/>
              </w:rPr>
            </w:pPr>
            <w:r w:rsidRPr="009D246D">
              <w:rPr>
                <w:rFonts w:ascii="Verdana" w:hAnsi="Verdana"/>
                <w:highlight w:val="yellow"/>
              </w:rPr>
              <w:t>Yes</w:t>
            </w:r>
          </w:p>
        </w:tc>
        <w:tc>
          <w:tcPr>
            <w:tcW w:w="1113" w:type="dxa"/>
            <w:vAlign w:val="center"/>
          </w:tcPr>
          <w:p w14:paraId="7EB80641" w14:textId="77777777" w:rsidR="002A7778" w:rsidRDefault="002A7778" w:rsidP="002A7778">
            <w:pPr>
              <w:spacing w:before="120" w:after="120"/>
              <w:jc w:val="center"/>
              <w:rPr>
                <w:rFonts w:ascii="Verdana" w:hAnsi="Verdana"/>
              </w:rPr>
            </w:pPr>
            <w:r>
              <w:rPr>
                <w:rFonts w:ascii="Verdana" w:hAnsi="Verdana"/>
              </w:rPr>
              <w:t>No</w:t>
            </w:r>
          </w:p>
        </w:tc>
      </w:tr>
    </w:tbl>
    <w:p w14:paraId="2581B89B" w14:textId="77777777" w:rsidR="00216EEC" w:rsidRDefault="00216EEC" w:rsidP="00FE0995">
      <w:pPr>
        <w:spacing w:before="120" w:after="120"/>
        <w:rPr>
          <w:rFonts w:ascii="Verdana" w:hAnsi="Verdana"/>
        </w:rPr>
      </w:pPr>
    </w:p>
    <w:p w14:paraId="7C93D943" w14:textId="77777777" w:rsidR="00D24644" w:rsidRPr="00D24644" w:rsidRDefault="00D24644" w:rsidP="00FE0995">
      <w:pPr>
        <w:spacing w:before="120" w:after="120"/>
        <w:rPr>
          <w:rFonts w:ascii="Verdana" w:hAnsi="Verdana"/>
          <w:b/>
          <w:color w:val="0072C6"/>
          <w:sz w:val="28"/>
          <w:szCs w:val="28"/>
        </w:rPr>
      </w:pPr>
      <w:r w:rsidRPr="00D24644">
        <w:rPr>
          <w:rFonts w:ascii="Verdana" w:hAnsi="Verdana"/>
          <w:b/>
          <w:color w:val="0072C6"/>
          <w:sz w:val="28"/>
          <w:szCs w:val="28"/>
        </w:rPr>
        <w:t>Best of luck</w:t>
      </w:r>
    </w:p>
    <w:p w14:paraId="4F02E011" w14:textId="77777777" w:rsidR="00D24644" w:rsidRPr="00D24644" w:rsidRDefault="00D24644" w:rsidP="00FE0995">
      <w:pPr>
        <w:spacing w:before="120" w:after="120"/>
        <w:rPr>
          <w:rFonts w:ascii="Verdana" w:hAnsi="Verdana"/>
          <w:b/>
          <w:color w:val="0072C6"/>
          <w:sz w:val="28"/>
          <w:szCs w:val="28"/>
        </w:rPr>
      </w:pPr>
      <w:r w:rsidRPr="00D24644">
        <w:rPr>
          <w:rFonts w:ascii="Verdana" w:hAnsi="Verdana"/>
          <w:b/>
          <w:color w:val="0072C6"/>
          <w:sz w:val="28"/>
          <w:szCs w:val="28"/>
        </w:rPr>
        <w:t>The PrescQIPP team</w:t>
      </w:r>
    </w:p>
    <w:sectPr w:rsidR="00D24644" w:rsidRPr="00D24644" w:rsidSect="009C0137">
      <w:headerReference w:type="default" r:id="rId8"/>
      <w:pgSz w:w="11900" w:h="16840"/>
      <w:pgMar w:top="1985" w:right="1134" w:bottom="1134" w:left="1134"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26C887" w15:done="0"/>
  <w15:commentEx w15:paraId="06E7B17F" w15:done="0"/>
  <w15:commentEx w15:paraId="01910F6F" w15:done="0"/>
  <w15:commentEx w15:paraId="3509D4F0" w15:done="0"/>
  <w15:commentEx w15:paraId="553ADD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26C887" w16cid:durableId="1FFC63D1"/>
  <w16cid:commentId w16cid:paraId="06E7B17F" w16cid:durableId="1FFC64AA"/>
  <w16cid:commentId w16cid:paraId="01910F6F" w16cid:durableId="1FFC6517"/>
  <w16cid:commentId w16cid:paraId="3509D4F0" w16cid:durableId="1FFC6537"/>
  <w16cid:commentId w16cid:paraId="553ADD32" w16cid:durableId="1FFC65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1E0A9" w14:textId="77777777" w:rsidR="009C0137" w:rsidRDefault="009C0137" w:rsidP="00AB1CDB">
      <w:r>
        <w:separator/>
      </w:r>
    </w:p>
  </w:endnote>
  <w:endnote w:type="continuationSeparator" w:id="0">
    <w:p w14:paraId="617C7774" w14:textId="77777777" w:rsidR="009C0137" w:rsidRDefault="009C0137" w:rsidP="00AB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94CA4" w14:textId="77777777" w:rsidR="009C0137" w:rsidRDefault="009C0137" w:rsidP="00AB1CDB">
      <w:r>
        <w:separator/>
      </w:r>
    </w:p>
  </w:footnote>
  <w:footnote w:type="continuationSeparator" w:id="0">
    <w:p w14:paraId="715309B3" w14:textId="77777777" w:rsidR="009C0137" w:rsidRDefault="009C0137" w:rsidP="00AB1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99A9F" w14:textId="3DCCA850" w:rsidR="009C0137" w:rsidRDefault="009C0137">
    <w:pPr>
      <w:pStyle w:val="Header"/>
    </w:pPr>
    <w:r>
      <w:rPr>
        <w:noProof/>
        <w:lang w:val="en-GB" w:eastAsia="en-GB"/>
      </w:rPr>
      <w:drawing>
        <wp:anchor distT="0" distB="0" distL="114300" distR="114300" simplePos="0" relativeHeight="251658240" behindDoc="0" locked="0" layoutInCell="1" allowOverlap="1" wp14:anchorId="6DE9A4C8" wp14:editId="0278F7A6">
          <wp:simplePos x="0" y="0"/>
          <wp:positionH relativeFrom="column">
            <wp:posOffset>2632710</wp:posOffset>
          </wp:positionH>
          <wp:positionV relativeFrom="paragraph">
            <wp:posOffset>-17145</wp:posOffset>
          </wp:positionV>
          <wp:extent cx="3530122" cy="746579"/>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
                    <a:extLst>
                      <a:ext uri="{28A0092B-C50C-407E-A947-70E740481C1C}">
                        <a14:useLocalDpi xmlns:a14="http://schemas.microsoft.com/office/drawing/2010/main" val="0"/>
                      </a:ext>
                    </a:extLst>
                  </a:blip>
                  <a:stretch>
                    <a:fillRect/>
                  </a:stretch>
                </pic:blipFill>
                <pic:spPr>
                  <a:xfrm>
                    <a:off x="0" y="0"/>
                    <a:ext cx="3530563" cy="746672"/>
                  </a:xfrm>
                  <a:prstGeom prst="rect">
                    <a:avLst/>
                  </a:prstGeom>
                </pic:spPr>
              </pic:pic>
            </a:graphicData>
          </a:graphic>
          <wp14:sizeRelH relativeFrom="page">
            <wp14:pctWidth>0</wp14:pctWidth>
          </wp14:sizeRelH>
          <wp14:sizeRelV relativeFrom="page">
            <wp14:pctHeight>0</wp14:pctHeight>
          </wp14:sizeRelV>
        </wp:anchor>
      </w:drawing>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en Homan">
    <w15:presenceInfo w15:providerId="Windows Live" w15:userId="6246227e8677d3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CDB"/>
    <w:rsid w:val="00027D76"/>
    <w:rsid w:val="00126614"/>
    <w:rsid w:val="00216EEC"/>
    <w:rsid w:val="002A73DC"/>
    <w:rsid w:val="002A7778"/>
    <w:rsid w:val="00361E42"/>
    <w:rsid w:val="0042491E"/>
    <w:rsid w:val="00484E2C"/>
    <w:rsid w:val="005F080F"/>
    <w:rsid w:val="006B3122"/>
    <w:rsid w:val="007200CE"/>
    <w:rsid w:val="00757641"/>
    <w:rsid w:val="007D0240"/>
    <w:rsid w:val="008571AD"/>
    <w:rsid w:val="009C0137"/>
    <w:rsid w:val="009D246D"/>
    <w:rsid w:val="00A775F6"/>
    <w:rsid w:val="00AB1CDB"/>
    <w:rsid w:val="00AC5E3F"/>
    <w:rsid w:val="00BE30A4"/>
    <w:rsid w:val="00CE05E4"/>
    <w:rsid w:val="00D05A70"/>
    <w:rsid w:val="00D24644"/>
    <w:rsid w:val="00E61A3D"/>
    <w:rsid w:val="00E93D3D"/>
    <w:rsid w:val="00EB75DD"/>
    <w:rsid w:val="00FA3727"/>
    <w:rsid w:val="00FE09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B24E60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1CDB"/>
    <w:pPr>
      <w:tabs>
        <w:tab w:val="center" w:pos="4320"/>
        <w:tab w:val="right" w:pos="8640"/>
      </w:tabs>
    </w:pPr>
  </w:style>
  <w:style w:type="character" w:customStyle="1" w:styleId="HeaderChar">
    <w:name w:val="Header Char"/>
    <w:basedOn w:val="DefaultParagraphFont"/>
    <w:link w:val="Header"/>
    <w:uiPriority w:val="99"/>
    <w:rsid w:val="00AB1CDB"/>
  </w:style>
  <w:style w:type="paragraph" w:styleId="Footer">
    <w:name w:val="footer"/>
    <w:basedOn w:val="Normal"/>
    <w:link w:val="FooterChar"/>
    <w:uiPriority w:val="99"/>
    <w:unhideWhenUsed/>
    <w:rsid w:val="00AB1CDB"/>
    <w:pPr>
      <w:tabs>
        <w:tab w:val="center" w:pos="4320"/>
        <w:tab w:val="right" w:pos="8640"/>
      </w:tabs>
    </w:pPr>
  </w:style>
  <w:style w:type="character" w:customStyle="1" w:styleId="FooterChar">
    <w:name w:val="Footer Char"/>
    <w:basedOn w:val="DefaultParagraphFont"/>
    <w:link w:val="Footer"/>
    <w:uiPriority w:val="99"/>
    <w:rsid w:val="00AB1CDB"/>
  </w:style>
  <w:style w:type="paragraph" w:styleId="BalloonText">
    <w:name w:val="Balloon Text"/>
    <w:basedOn w:val="Normal"/>
    <w:link w:val="BalloonTextChar"/>
    <w:uiPriority w:val="99"/>
    <w:semiHidden/>
    <w:unhideWhenUsed/>
    <w:rsid w:val="00AB1CDB"/>
    <w:rPr>
      <w:rFonts w:ascii="Lucida Grande" w:hAnsi="Lucida Grande"/>
      <w:sz w:val="18"/>
      <w:szCs w:val="18"/>
    </w:rPr>
  </w:style>
  <w:style w:type="character" w:customStyle="1" w:styleId="BalloonTextChar">
    <w:name w:val="Balloon Text Char"/>
    <w:basedOn w:val="DefaultParagraphFont"/>
    <w:link w:val="BalloonText"/>
    <w:uiPriority w:val="99"/>
    <w:semiHidden/>
    <w:rsid w:val="00AB1CDB"/>
    <w:rPr>
      <w:rFonts w:ascii="Lucida Grande" w:hAnsi="Lucida Grande"/>
      <w:sz w:val="18"/>
      <w:szCs w:val="18"/>
    </w:rPr>
  </w:style>
  <w:style w:type="table" w:styleId="TableGrid">
    <w:name w:val="Table Grid"/>
    <w:basedOn w:val="TableNormal"/>
    <w:uiPriority w:val="59"/>
    <w:rsid w:val="00FE09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05A70"/>
    <w:rPr>
      <w:sz w:val="16"/>
      <w:szCs w:val="16"/>
    </w:rPr>
  </w:style>
  <w:style w:type="paragraph" w:styleId="CommentText">
    <w:name w:val="annotation text"/>
    <w:basedOn w:val="Normal"/>
    <w:link w:val="CommentTextChar"/>
    <w:uiPriority w:val="99"/>
    <w:unhideWhenUsed/>
    <w:rsid w:val="00D05A70"/>
    <w:rPr>
      <w:sz w:val="20"/>
      <w:szCs w:val="20"/>
    </w:rPr>
  </w:style>
  <w:style w:type="character" w:customStyle="1" w:styleId="CommentTextChar">
    <w:name w:val="Comment Text Char"/>
    <w:basedOn w:val="DefaultParagraphFont"/>
    <w:link w:val="CommentText"/>
    <w:uiPriority w:val="99"/>
    <w:rsid w:val="00D05A70"/>
    <w:rPr>
      <w:sz w:val="20"/>
      <w:szCs w:val="20"/>
    </w:rPr>
  </w:style>
  <w:style w:type="paragraph" w:styleId="CommentSubject">
    <w:name w:val="annotation subject"/>
    <w:basedOn w:val="CommentText"/>
    <w:next w:val="CommentText"/>
    <w:link w:val="CommentSubjectChar"/>
    <w:uiPriority w:val="99"/>
    <w:semiHidden/>
    <w:unhideWhenUsed/>
    <w:rsid w:val="00D05A70"/>
    <w:rPr>
      <w:b/>
      <w:bCs/>
    </w:rPr>
  </w:style>
  <w:style w:type="character" w:customStyle="1" w:styleId="CommentSubjectChar">
    <w:name w:val="Comment Subject Char"/>
    <w:basedOn w:val="CommentTextChar"/>
    <w:link w:val="CommentSubject"/>
    <w:uiPriority w:val="99"/>
    <w:semiHidden/>
    <w:rsid w:val="00D05A70"/>
    <w:rPr>
      <w:b/>
      <w:bCs/>
      <w:sz w:val="20"/>
      <w:szCs w:val="20"/>
    </w:rPr>
  </w:style>
  <w:style w:type="paragraph" w:styleId="Revision">
    <w:name w:val="Revision"/>
    <w:hidden/>
    <w:uiPriority w:val="99"/>
    <w:semiHidden/>
    <w:rsid w:val="00D05A70"/>
  </w:style>
  <w:style w:type="character" w:styleId="Hyperlink">
    <w:name w:val="Hyperlink"/>
    <w:basedOn w:val="DefaultParagraphFont"/>
    <w:uiPriority w:val="99"/>
    <w:unhideWhenUsed/>
    <w:rsid w:val="007200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1CDB"/>
    <w:pPr>
      <w:tabs>
        <w:tab w:val="center" w:pos="4320"/>
        <w:tab w:val="right" w:pos="8640"/>
      </w:tabs>
    </w:pPr>
  </w:style>
  <w:style w:type="character" w:customStyle="1" w:styleId="HeaderChar">
    <w:name w:val="Header Char"/>
    <w:basedOn w:val="DefaultParagraphFont"/>
    <w:link w:val="Header"/>
    <w:uiPriority w:val="99"/>
    <w:rsid w:val="00AB1CDB"/>
  </w:style>
  <w:style w:type="paragraph" w:styleId="Footer">
    <w:name w:val="footer"/>
    <w:basedOn w:val="Normal"/>
    <w:link w:val="FooterChar"/>
    <w:uiPriority w:val="99"/>
    <w:unhideWhenUsed/>
    <w:rsid w:val="00AB1CDB"/>
    <w:pPr>
      <w:tabs>
        <w:tab w:val="center" w:pos="4320"/>
        <w:tab w:val="right" w:pos="8640"/>
      </w:tabs>
    </w:pPr>
  </w:style>
  <w:style w:type="character" w:customStyle="1" w:styleId="FooterChar">
    <w:name w:val="Footer Char"/>
    <w:basedOn w:val="DefaultParagraphFont"/>
    <w:link w:val="Footer"/>
    <w:uiPriority w:val="99"/>
    <w:rsid w:val="00AB1CDB"/>
  </w:style>
  <w:style w:type="paragraph" w:styleId="BalloonText">
    <w:name w:val="Balloon Text"/>
    <w:basedOn w:val="Normal"/>
    <w:link w:val="BalloonTextChar"/>
    <w:uiPriority w:val="99"/>
    <w:semiHidden/>
    <w:unhideWhenUsed/>
    <w:rsid w:val="00AB1CDB"/>
    <w:rPr>
      <w:rFonts w:ascii="Lucida Grande" w:hAnsi="Lucida Grande"/>
      <w:sz w:val="18"/>
      <w:szCs w:val="18"/>
    </w:rPr>
  </w:style>
  <w:style w:type="character" w:customStyle="1" w:styleId="BalloonTextChar">
    <w:name w:val="Balloon Text Char"/>
    <w:basedOn w:val="DefaultParagraphFont"/>
    <w:link w:val="BalloonText"/>
    <w:uiPriority w:val="99"/>
    <w:semiHidden/>
    <w:rsid w:val="00AB1CDB"/>
    <w:rPr>
      <w:rFonts w:ascii="Lucida Grande" w:hAnsi="Lucida Grande"/>
      <w:sz w:val="18"/>
      <w:szCs w:val="18"/>
    </w:rPr>
  </w:style>
  <w:style w:type="table" w:styleId="TableGrid">
    <w:name w:val="Table Grid"/>
    <w:basedOn w:val="TableNormal"/>
    <w:uiPriority w:val="59"/>
    <w:rsid w:val="00FE09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05A70"/>
    <w:rPr>
      <w:sz w:val="16"/>
      <w:szCs w:val="16"/>
    </w:rPr>
  </w:style>
  <w:style w:type="paragraph" w:styleId="CommentText">
    <w:name w:val="annotation text"/>
    <w:basedOn w:val="Normal"/>
    <w:link w:val="CommentTextChar"/>
    <w:uiPriority w:val="99"/>
    <w:unhideWhenUsed/>
    <w:rsid w:val="00D05A70"/>
    <w:rPr>
      <w:sz w:val="20"/>
      <w:szCs w:val="20"/>
    </w:rPr>
  </w:style>
  <w:style w:type="character" w:customStyle="1" w:styleId="CommentTextChar">
    <w:name w:val="Comment Text Char"/>
    <w:basedOn w:val="DefaultParagraphFont"/>
    <w:link w:val="CommentText"/>
    <w:uiPriority w:val="99"/>
    <w:rsid w:val="00D05A70"/>
    <w:rPr>
      <w:sz w:val="20"/>
      <w:szCs w:val="20"/>
    </w:rPr>
  </w:style>
  <w:style w:type="paragraph" w:styleId="CommentSubject">
    <w:name w:val="annotation subject"/>
    <w:basedOn w:val="CommentText"/>
    <w:next w:val="CommentText"/>
    <w:link w:val="CommentSubjectChar"/>
    <w:uiPriority w:val="99"/>
    <w:semiHidden/>
    <w:unhideWhenUsed/>
    <w:rsid w:val="00D05A70"/>
    <w:rPr>
      <w:b/>
      <w:bCs/>
    </w:rPr>
  </w:style>
  <w:style w:type="character" w:customStyle="1" w:styleId="CommentSubjectChar">
    <w:name w:val="Comment Subject Char"/>
    <w:basedOn w:val="CommentTextChar"/>
    <w:link w:val="CommentSubject"/>
    <w:uiPriority w:val="99"/>
    <w:semiHidden/>
    <w:rsid w:val="00D05A70"/>
    <w:rPr>
      <w:b/>
      <w:bCs/>
      <w:sz w:val="20"/>
      <w:szCs w:val="20"/>
    </w:rPr>
  </w:style>
  <w:style w:type="paragraph" w:styleId="Revision">
    <w:name w:val="Revision"/>
    <w:hidden/>
    <w:uiPriority w:val="99"/>
    <w:semiHidden/>
    <w:rsid w:val="00D05A70"/>
  </w:style>
  <w:style w:type="character" w:styleId="Hyperlink">
    <w:name w:val="Hyperlink"/>
    <w:basedOn w:val="DefaultParagraphFont"/>
    <w:uiPriority w:val="99"/>
    <w:unhideWhenUsed/>
    <w:rsid w:val="007200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prescqipp.info/community-resources/annual-event-and-innovation-awards/enter-the-awards/" TargetMode="External"/><Relationship Id="rId12" Type="http://schemas.microsoft.com/office/2011/relationships/commentsExtended" Target="commentsExtended.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5</Pages>
  <Words>958</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NHS Essex CSU</Company>
  <LinksUpToDate>false</LinksUpToDate>
  <CharactersWithSpaces>6410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Wilkinson Paula (06Q) NHS Mid Essex CCG</cp:lastModifiedBy>
  <cp:revision>8</cp:revision>
  <dcterms:created xsi:type="dcterms:W3CDTF">2019-07-19T18:55:00Z</dcterms:created>
  <dcterms:modified xsi:type="dcterms:W3CDTF">2019-07-19T22:55:00Z</dcterms:modified>
</cp:coreProperties>
</file>