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D8A4" w14:textId="77777777" w:rsidR="00BC1FC8" w:rsidRDefault="000B7737" w:rsidP="00000CDB">
      <w:pPr>
        <w:spacing w:before="120" w:after="120" w:line="360" w:lineRule="atLeast"/>
        <w:rPr>
          <w:rFonts w:ascii="Verdana" w:hAnsi="Verdana"/>
          <w:b/>
          <w:sz w:val="24"/>
          <w:szCs w:val="24"/>
        </w:rPr>
      </w:pPr>
      <w:r w:rsidRPr="00000CDB">
        <w:rPr>
          <w:rFonts w:ascii="Verdana" w:hAnsi="Verdana"/>
          <w:b/>
          <w:sz w:val="24"/>
          <w:szCs w:val="24"/>
        </w:rPr>
        <w:t xml:space="preserve">This letter is for you to adapt for your </w:t>
      </w:r>
      <w:r w:rsidR="001362E5">
        <w:rPr>
          <w:rFonts w:ascii="Verdana" w:hAnsi="Verdana"/>
          <w:b/>
          <w:sz w:val="24"/>
          <w:szCs w:val="24"/>
        </w:rPr>
        <w:t>area</w:t>
      </w:r>
      <w:r w:rsidR="00BC1FC8">
        <w:rPr>
          <w:rFonts w:ascii="Verdana" w:hAnsi="Verdana"/>
          <w:b/>
          <w:sz w:val="24"/>
          <w:szCs w:val="24"/>
        </w:rPr>
        <w:t xml:space="preserve">. </w:t>
      </w:r>
    </w:p>
    <w:p w14:paraId="65E4106D" w14:textId="77777777" w:rsidR="00BC1FC8" w:rsidRDefault="00BC1FC8" w:rsidP="00000CDB">
      <w:pPr>
        <w:spacing w:before="120" w:after="120" w:line="360" w:lineRule="atLeas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Ensure that the content reflects local guidance before using. </w:t>
      </w:r>
    </w:p>
    <w:p w14:paraId="7957184F" w14:textId="77777777" w:rsidR="000B7737" w:rsidRPr="00000CDB" w:rsidRDefault="00BC1FC8" w:rsidP="00000CDB">
      <w:pPr>
        <w:spacing w:before="120" w:after="120" w:line="360" w:lineRule="atLeas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</w:t>
      </w:r>
      <w:r w:rsidR="000B7737" w:rsidRPr="00000CDB">
        <w:rPr>
          <w:rFonts w:ascii="Verdana" w:hAnsi="Verdana"/>
          <w:b/>
          <w:sz w:val="24"/>
          <w:szCs w:val="24"/>
        </w:rPr>
        <w:t xml:space="preserve">ustomise the text highlighted in yellow so that the information is </w:t>
      </w:r>
      <w:r w:rsidR="00DD13FB" w:rsidRPr="00000CDB">
        <w:rPr>
          <w:rFonts w:ascii="Verdana" w:hAnsi="Verdana"/>
          <w:b/>
          <w:sz w:val="24"/>
          <w:szCs w:val="24"/>
        </w:rPr>
        <w:t xml:space="preserve">relevant and </w:t>
      </w:r>
      <w:r w:rsidR="000B7737" w:rsidRPr="00000CDB">
        <w:rPr>
          <w:rFonts w:ascii="Verdana" w:hAnsi="Verdana"/>
          <w:b/>
          <w:sz w:val="24"/>
          <w:szCs w:val="24"/>
        </w:rPr>
        <w:t xml:space="preserve">appropriate. </w:t>
      </w:r>
    </w:p>
    <w:p w14:paraId="1D4C926D" w14:textId="77777777" w:rsidR="000B7737" w:rsidRPr="00000CDB" w:rsidRDefault="000B7737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</w:p>
    <w:p w14:paraId="1D9A1FAA" w14:textId="41848F27" w:rsidR="000B7737" w:rsidRPr="00000CDB" w:rsidRDefault="0026458C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F34F6" wp14:editId="25EE4973">
                <wp:simplePos x="0" y="0"/>
                <wp:positionH relativeFrom="column">
                  <wp:posOffset>2716530</wp:posOffset>
                </wp:positionH>
                <wp:positionV relativeFrom="paragraph">
                  <wp:posOffset>20320</wp:posOffset>
                </wp:positionV>
                <wp:extent cx="3022600" cy="723900"/>
                <wp:effectExtent l="11430" t="10795" r="13970" b="825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79102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E0362" w14:textId="77777777" w:rsidR="001406D8" w:rsidRPr="00A850AE" w:rsidRDefault="001406D8" w:rsidP="000B773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850AE">
                              <w:rPr>
                                <w:rFonts w:ascii="Verdana" w:hAnsi="Verdana"/>
                              </w:rPr>
                              <w:t>Insert practice header or print to practice headed paper</w:t>
                            </w:r>
                            <w:r>
                              <w:rPr>
                                <w:rFonts w:ascii="Verdana" w:hAnsi="Verdana"/>
                              </w:rPr>
                              <w:t>, or type address details below.</w:t>
                            </w:r>
                          </w:p>
                          <w:p w14:paraId="0BD4B340" w14:textId="77777777" w:rsidR="001406D8" w:rsidRPr="00A850AE" w:rsidRDefault="001406D8" w:rsidP="000B773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F3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9pt;margin-top:1.6pt;width:238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b7DQIAAAIEAAAOAAAAZHJzL2Uyb0RvYy54bWysU9tu2zAMfR+wfxD0vthxL2uMOEWXLsOA&#10;7gJ0+wBZlmNhsqhRSuzu60fJbhpsb8P8IJAmdUgeHq1vx96wo0KvwVZ8ucg5U1ZCo+2+4t+/7d7c&#10;cOaDsI0wYFXFn5Tnt5vXr9aDK1UBHZhGISMQ68vBVbwLwZVZ5mWneuEX4JSlYAvYi0Au7rMGxUDo&#10;vcmKPL/OBsDGIUjlPf29n4J8k/DbVsnwpW29CsxUnHoL6cR01vHMNmtR7lG4Tsu5DfEPXfRCWyp6&#10;groXQbAD6r+gei0RPLRhIaHPoG21VGkGmmaZ/zHNYyecSrMQOd6daPL/D1Z+Pj66r8jC+A5GWmAa&#10;wrsHkD88s7DthN2rO0QYOiUaKryMlGWD8+V8NVLtSx9B6uETNLRkcQiQgMYW+8gKzckInRbwdCJd&#10;jYFJ+nmRF8V1TiFJsbfFxYrsWEKUz7cd+vBBQc+iUXGkpSZ0cXzwYUp9TonFLOy0MWmxxrKh4qur&#10;4mqaC4xuYjCmedzXW4PsKKI06Nvt5rr+PK3XgQRqdF/xm5g1Syay8d42qUoQ2kw2NW3sTE9kZOIm&#10;jPVIiZGmGponIgphEiI9HDI6wF+cDSTCivufB4GKM/PREtmr5eVlVO25g+dOfe4IKwmq4oGzydyG&#10;SekHh3rfUaVpvRbuaEGtTty9dDX3TUJL7M+PIir53E9ZL0938xsAAP//AwBQSwMEFAAGAAgAAAAh&#10;ADFwdlvcAAAACQEAAA8AAABkcnMvZG93bnJldi54bWxMj8tOwzAQRfdI/IM1SOyoEzelEOJUCIk9&#10;tBUSOzeeJlHjcRQ7j/49wwqWV/fqzJlit7hOTDiE1pOGdJWAQKq8banWcDy8PzyBCNGQNZ0n1HDF&#10;ALvy9qYwufUzfeK0j7VgCIXcaGhi7HMpQ9WgM2HleyTuzn5wJnIcamkHMzPcdVIlyaN0piW+0Jge&#10;3xqsLvvRMeU4Vdf6vEk/Npcl+x7nrywLSuv7u+X1BUTEJf6N4Vef1aFkp5MfyQbRacjUltWjhrUC&#10;wf1zsuZ84mG6VSDLQv7/oPwBAAD//wMAUEsBAi0AFAAGAAgAAAAhALaDOJL+AAAA4QEAABMAAAAA&#10;AAAAAAAAAAAAAAAAAFtDb250ZW50X1R5cGVzXS54bWxQSwECLQAUAAYACAAAACEAOP0h/9YAAACU&#10;AQAACwAAAAAAAAAAAAAAAAAvAQAAX3JlbHMvLnJlbHNQSwECLQAUAAYACAAAACEAiOkW+w0CAAAC&#10;BAAADgAAAAAAAAAAAAAAAAAuAgAAZHJzL2Uyb0RvYy54bWxQSwECLQAUAAYACAAAACEAMXB2W9wA&#10;AAAJAQAADwAAAAAAAAAAAAAAAABnBAAAZHJzL2Rvd25yZXYueG1sUEsFBgAAAAAEAAQA8wAAAHAF&#10;AAAAAA==&#10;" filled="f" strokecolor="blue">
                <v:textbox inset=",7.2pt,,7.2pt">
                  <w:txbxContent>
                    <w:p w14:paraId="60FE0362" w14:textId="77777777" w:rsidR="001406D8" w:rsidRPr="00A850AE" w:rsidRDefault="001406D8" w:rsidP="000B7737">
                      <w:pPr>
                        <w:rPr>
                          <w:rFonts w:ascii="Verdana" w:hAnsi="Verdana"/>
                        </w:rPr>
                      </w:pPr>
                      <w:r w:rsidRPr="00A850AE">
                        <w:rPr>
                          <w:rFonts w:ascii="Verdana" w:hAnsi="Verdana"/>
                        </w:rPr>
                        <w:t>Insert practice header or print to practice headed paper</w:t>
                      </w:r>
                      <w:r>
                        <w:rPr>
                          <w:rFonts w:ascii="Verdana" w:hAnsi="Verdana"/>
                        </w:rPr>
                        <w:t>, or type address details below.</w:t>
                      </w:r>
                    </w:p>
                    <w:p w14:paraId="0BD4B340" w14:textId="77777777" w:rsidR="001406D8" w:rsidRPr="00A850AE" w:rsidRDefault="001406D8" w:rsidP="000B7737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BD7BD9" w14:textId="77777777" w:rsidR="000B7737" w:rsidRPr="00000CDB" w:rsidRDefault="000B7737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</w:p>
    <w:p w14:paraId="4C450B6C" w14:textId="77777777" w:rsidR="000B7737" w:rsidRPr="00000CDB" w:rsidRDefault="000B7737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</w:rPr>
      </w:pPr>
    </w:p>
    <w:p w14:paraId="0FD4150A" w14:textId="77777777" w:rsidR="006F661D" w:rsidRPr="00000CDB" w:rsidRDefault="006F661D" w:rsidP="00320FB1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[Practice name]</w:t>
      </w:r>
    </w:p>
    <w:p w14:paraId="5637DC33" w14:textId="77777777" w:rsidR="006F661D" w:rsidRPr="00000CDB" w:rsidRDefault="006F661D" w:rsidP="00320FB1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[Address]</w:t>
      </w:r>
    </w:p>
    <w:p w14:paraId="380779E1" w14:textId="77777777" w:rsidR="006F661D" w:rsidRPr="00000CDB" w:rsidRDefault="006F661D" w:rsidP="00320FB1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 xml:space="preserve">[Tel]  </w:t>
      </w:r>
    </w:p>
    <w:p w14:paraId="2A40160C" w14:textId="77777777" w:rsidR="006F661D" w:rsidRPr="00000CDB" w:rsidRDefault="006F661D" w:rsidP="00320FB1">
      <w:pPr>
        <w:spacing w:after="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[Email]</w:t>
      </w:r>
    </w:p>
    <w:p w14:paraId="00FC1CD4" w14:textId="77777777" w:rsidR="006F661D" w:rsidRPr="00000CDB" w:rsidRDefault="006F661D" w:rsidP="00000CDB">
      <w:pPr>
        <w:spacing w:before="120" w:after="120" w:line="360" w:lineRule="atLeast"/>
        <w:jc w:val="righ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[Date]</w:t>
      </w:r>
    </w:p>
    <w:p w14:paraId="62EA8FCF" w14:textId="77777777" w:rsidR="006F661D" w:rsidRPr="00000CDB" w:rsidRDefault="006F661D" w:rsidP="00000CDB">
      <w:pPr>
        <w:spacing w:before="120" w:after="120" w:line="360" w:lineRule="atLeast"/>
        <w:rPr>
          <w:rFonts w:ascii="Verdana" w:hAnsi="Verdana"/>
          <w:sz w:val="24"/>
          <w:szCs w:val="24"/>
          <w:highlight w:val="yellow"/>
        </w:rPr>
      </w:pPr>
    </w:p>
    <w:p w14:paraId="5B9BEB24" w14:textId="77777777" w:rsidR="00FE2B6D" w:rsidRPr="00000CDB" w:rsidRDefault="00FE2B6D" w:rsidP="001F010B">
      <w:pPr>
        <w:spacing w:after="0" w:line="360" w:lineRule="atLeas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</w:t>
      </w:r>
      <w:proofErr w:type="spellStart"/>
      <w:r w:rsidRPr="00000CDB">
        <w:rPr>
          <w:rFonts w:ascii="Verdana" w:hAnsi="Verdana"/>
          <w:sz w:val="24"/>
          <w:szCs w:val="24"/>
          <w:highlight w:val="yellow"/>
        </w:rPr>
        <w:t>Title_Initial_Surname</w:t>
      </w:r>
      <w:proofErr w:type="spellEnd"/>
      <w:r w:rsidRPr="00000CDB">
        <w:rPr>
          <w:rFonts w:ascii="Verdana" w:hAnsi="Verdana"/>
          <w:sz w:val="24"/>
          <w:szCs w:val="24"/>
          <w:highlight w:val="yellow"/>
        </w:rPr>
        <w:t>]</w:t>
      </w:r>
    </w:p>
    <w:p w14:paraId="07989B73" w14:textId="77777777" w:rsidR="00FE2B6D" w:rsidRPr="001362E5" w:rsidRDefault="00FE2B6D" w:rsidP="001F010B">
      <w:pPr>
        <w:spacing w:after="0" w:line="360" w:lineRule="atLeast"/>
        <w:rPr>
          <w:rFonts w:ascii="Verdana" w:hAnsi="Verdana"/>
          <w:sz w:val="24"/>
          <w:szCs w:val="24"/>
          <w:highlight w:val="yellow"/>
        </w:rPr>
      </w:pPr>
      <w:r w:rsidRPr="00000CDB">
        <w:rPr>
          <w:rFonts w:ascii="Verdana" w:hAnsi="Verdana"/>
          <w:sz w:val="24"/>
          <w:szCs w:val="24"/>
          <w:highlight w:val="yellow"/>
        </w:rPr>
        <w:t>[</w:t>
      </w:r>
      <w:r w:rsidR="001362E5" w:rsidRPr="001362E5">
        <w:rPr>
          <w:rFonts w:ascii="Verdana" w:hAnsi="Verdana"/>
          <w:sz w:val="24"/>
          <w:szCs w:val="24"/>
          <w:highlight w:val="yellow"/>
        </w:rPr>
        <w:t>Address of specialist</w:t>
      </w:r>
      <w:r w:rsidRPr="001362E5">
        <w:rPr>
          <w:rFonts w:ascii="Verdana" w:hAnsi="Verdana"/>
          <w:sz w:val="24"/>
          <w:szCs w:val="24"/>
          <w:highlight w:val="yellow"/>
        </w:rPr>
        <w:t>]</w:t>
      </w:r>
    </w:p>
    <w:p w14:paraId="04903651" w14:textId="77777777" w:rsidR="00FE2B6D" w:rsidRPr="001362E5" w:rsidRDefault="00FE2B6D" w:rsidP="001F010B">
      <w:pPr>
        <w:spacing w:after="0" w:line="360" w:lineRule="atLeast"/>
        <w:rPr>
          <w:rFonts w:ascii="Verdana" w:hAnsi="Verdana" w:cs="Arial"/>
          <w:sz w:val="24"/>
          <w:szCs w:val="24"/>
        </w:rPr>
      </w:pPr>
      <w:r w:rsidRPr="001362E5">
        <w:rPr>
          <w:rFonts w:ascii="Verdana" w:hAnsi="Verdana" w:cs="Arial"/>
          <w:sz w:val="24"/>
          <w:szCs w:val="24"/>
          <w:highlight w:val="yellow"/>
        </w:rPr>
        <w:t>Dear [Title] [Surname]</w:t>
      </w:r>
      <w:r w:rsidRPr="001362E5">
        <w:rPr>
          <w:rFonts w:ascii="Verdana" w:hAnsi="Verdana" w:cs="Arial"/>
          <w:sz w:val="24"/>
          <w:szCs w:val="24"/>
        </w:rPr>
        <w:t>,</w:t>
      </w:r>
    </w:p>
    <w:p w14:paraId="2B8062FF" w14:textId="77777777" w:rsidR="001362E5" w:rsidRPr="001362E5" w:rsidRDefault="001362E5" w:rsidP="001362E5">
      <w:pPr>
        <w:rPr>
          <w:rFonts w:ascii="Verdana" w:hAnsi="Verdana"/>
          <w:sz w:val="24"/>
          <w:szCs w:val="24"/>
          <w:highlight w:val="lightGray"/>
        </w:rPr>
      </w:pPr>
    </w:p>
    <w:p w14:paraId="7762927F" w14:textId="77777777" w:rsidR="001362E5" w:rsidRPr="001362E5" w:rsidRDefault="001362E5" w:rsidP="001362E5">
      <w:pPr>
        <w:rPr>
          <w:rFonts w:ascii="Verdana" w:hAnsi="Verdana"/>
          <w:sz w:val="24"/>
          <w:szCs w:val="24"/>
        </w:rPr>
      </w:pPr>
      <w:r w:rsidRPr="001362E5">
        <w:rPr>
          <w:rFonts w:ascii="Verdana" w:hAnsi="Verdana"/>
          <w:sz w:val="24"/>
          <w:szCs w:val="24"/>
          <w:highlight w:val="yellow"/>
        </w:rPr>
        <w:t xml:space="preserve">Re patient:  </w:t>
      </w:r>
      <w:r>
        <w:rPr>
          <w:rFonts w:ascii="Verdana" w:hAnsi="Verdana"/>
          <w:sz w:val="24"/>
          <w:szCs w:val="24"/>
          <w:highlight w:val="yellow"/>
        </w:rPr>
        <w:t xml:space="preserve">[Patient </w:t>
      </w:r>
      <w:r w:rsidRPr="001362E5">
        <w:rPr>
          <w:rFonts w:ascii="Verdana" w:hAnsi="Verdana"/>
          <w:sz w:val="24"/>
          <w:szCs w:val="24"/>
          <w:highlight w:val="yellow"/>
        </w:rPr>
        <w:t>name, NHS number, DOB</w:t>
      </w:r>
      <w:r>
        <w:rPr>
          <w:rFonts w:ascii="Verdana" w:hAnsi="Verdana"/>
          <w:sz w:val="24"/>
          <w:szCs w:val="24"/>
        </w:rPr>
        <w:t>]</w:t>
      </w:r>
    </w:p>
    <w:p w14:paraId="1B9B0561" w14:textId="77777777" w:rsidR="00A635D7" w:rsidRDefault="001362E5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practice has been prescribing </w:t>
      </w:r>
      <w:r w:rsidR="00BC1FC8">
        <w:rPr>
          <w:rFonts w:ascii="Verdana" w:hAnsi="Verdana" w:cs="Arial"/>
          <w:sz w:val="24"/>
          <w:szCs w:val="24"/>
        </w:rPr>
        <w:t xml:space="preserve">antioxidant supplements for </w:t>
      </w:r>
      <w:r w:rsidR="001041BA" w:rsidRPr="001041BA">
        <w:rPr>
          <w:rFonts w:ascii="Verdana" w:hAnsi="Verdana" w:cs="Arial"/>
          <w:sz w:val="24"/>
          <w:szCs w:val="24"/>
        </w:rPr>
        <w:t xml:space="preserve">age-related macular degeneration </w:t>
      </w:r>
      <w:r>
        <w:rPr>
          <w:rFonts w:ascii="Verdana" w:hAnsi="Verdana" w:cs="Arial"/>
          <w:sz w:val="24"/>
          <w:szCs w:val="24"/>
        </w:rPr>
        <w:t>at your request:</w:t>
      </w:r>
    </w:p>
    <w:p w14:paraId="252A1BCD" w14:textId="77777777" w:rsidR="001362E5" w:rsidRDefault="001362E5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  <w:highlight w:val="yellow"/>
        </w:rPr>
        <w:t>[</w:t>
      </w:r>
      <w:r w:rsidR="00BC1FC8">
        <w:rPr>
          <w:rFonts w:ascii="Verdana" w:hAnsi="Verdana" w:cs="Arial"/>
          <w:sz w:val="24"/>
          <w:szCs w:val="24"/>
          <w:highlight w:val="yellow"/>
        </w:rPr>
        <w:t>Name of supplement</w:t>
      </w:r>
      <w:r w:rsidRPr="001362E5">
        <w:rPr>
          <w:rFonts w:ascii="Verdana" w:hAnsi="Verdana" w:cs="Arial"/>
          <w:sz w:val="24"/>
          <w:szCs w:val="24"/>
          <w:highlight w:val="yellow"/>
        </w:rPr>
        <w:t xml:space="preserve"> prescribed</w:t>
      </w:r>
      <w:r>
        <w:rPr>
          <w:rFonts w:ascii="Verdana" w:hAnsi="Verdana" w:cs="Arial"/>
          <w:sz w:val="24"/>
          <w:szCs w:val="24"/>
        </w:rPr>
        <w:t>]</w:t>
      </w:r>
    </w:p>
    <w:p w14:paraId="5B795ED6" w14:textId="77777777" w:rsidR="00020E3E" w:rsidRPr="00000CDB" w:rsidRDefault="00020E3E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</w:p>
    <w:p w14:paraId="5A383000" w14:textId="77777777" w:rsidR="00020E3E" w:rsidRDefault="00B2037F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[</w:t>
      </w:r>
      <w:r w:rsidRPr="001362E5">
        <w:rPr>
          <w:rFonts w:ascii="Verdana" w:hAnsi="Verdana" w:cs="Arial"/>
          <w:sz w:val="24"/>
          <w:szCs w:val="24"/>
          <w:highlight w:val="yellow"/>
        </w:rPr>
        <w:t>Name of ICB</w:t>
      </w:r>
      <w:r>
        <w:rPr>
          <w:rFonts w:ascii="Verdana" w:hAnsi="Verdana" w:cs="Arial"/>
          <w:sz w:val="24"/>
          <w:szCs w:val="24"/>
        </w:rPr>
        <w:t xml:space="preserve">] have </w:t>
      </w:r>
      <w:r w:rsidR="00BB239A">
        <w:rPr>
          <w:rFonts w:ascii="Verdana" w:hAnsi="Verdana" w:cs="Arial"/>
          <w:sz w:val="24"/>
          <w:szCs w:val="24"/>
        </w:rPr>
        <w:t>advised</w:t>
      </w:r>
      <w:r>
        <w:rPr>
          <w:rFonts w:ascii="Verdana" w:hAnsi="Verdana" w:cs="Arial"/>
          <w:sz w:val="24"/>
          <w:szCs w:val="24"/>
        </w:rPr>
        <w:t xml:space="preserve"> </w:t>
      </w:r>
      <w:r w:rsidR="0061363C">
        <w:rPr>
          <w:rFonts w:ascii="Verdana" w:hAnsi="Verdana" w:cs="Arial"/>
          <w:sz w:val="24"/>
          <w:szCs w:val="24"/>
        </w:rPr>
        <w:t>primary care prescribers</w:t>
      </w:r>
      <w:r>
        <w:rPr>
          <w:rFonts w:ascii="Verdana" w:hAnsi="Verdana" w:cs="Arial"/>
          <w:sz w:val="24"/>
          <w:szCs w:val="24"/>
        </w:rPr>
        <w:t xml:space="preserve"> not to initiate new patients on </w:t>
      </w:r>
      <w:r w:rsidR="00BC1FC8">
        <w:rPr>
          <w:rFonts w:ascii="Verdana" w:hAnsi="Verdana" w:cs="Arial"/>
          <w:sz w:val="24"/>
          <w:szCs w:val="24"/>
        </w:rPr>
        <w:t>antioxidant supplements for eye health</w:t>
      </w:r>
      <w:r>
        <w:rPr>
          <w:rFonts w:ascii="Verdana" w:hAnsi="Verdana" w:cs="Arial"/>
          <w:sz w:val="24"/>
          <w:szCs w:val="24"/>
        </w:rPr>
        <w:t xml:space="preserve">, and to discontinue prescribing where they have already been initiated. </w:t>
      </w:r>
      <w:r w:rsidR="00BC1FC8">
        <w:rPr>
          <w:rFonts w:ascii="Verdana" w:hAnsi="Verdana" w:cs="Arial"/>
          <w:sz w:val="24"/>
          <w:szCs w:val="24"/>
        </w:rPr>
        <w:t xml:space="preserve">Antioxidant supplements for eye health </w:t>
      </w:r>
      <w:r w:rsidR="00020E3E">
        <w:rPr>
          <w:rFonts w:ascii="Verdana" w:hAnsi="Verdana" w:cs="Arial"/>
          <w:sz w:val="24"/>
          <w:szCs w:val="24"/>
        </w:rPr>
        <w:t>are not approved for use in [</w:t>
      </w:r>
      <w:r w:rsidR="00020E3E" w:rsidRPr="001362E5">
        <w:rPr>
          <w:rFonts w:ascii="Verdana" w:hAnsi="Verdana" w:cs="Arial"/>
          <w:sz w:val="24"/>
          <w:szCs w:val="24"/>
          <w:highlight w:val="yellow"/>
        </w:rPr>
        <w:t>Name of ICB</w:t>
      </w:r>
      <w:r w:rsidR="00020E3E">
        <w:rPr>
          <w:rFonts w:ascii="Verdana" w:hAnsi="Verdana" w:cs="Arial"/>
          <w:sz w:val="24"/>
          <w:szCs w:val="24"/>
        </w:rPr>
        <w:t>] and the [</w:t>
      </w:r>
      <w:r w:rsidR="00020E3E" w:rsidRPr="00020E3E">
        <w:rPr>
          <w:rFonts w:ascii="Verdana" w:hAnsi="Verdana" w:cs="Arial"/>
          <w:sz w:val="24"/>
          <w:szCs w:val="24"/>
          <w:highlight w:val="yellow"/>
        </w:rPr>
        <w:t>Name of formulary</w:t>
      </w:r>
      <w:r w:rsidR="00020E3E">
        <w:rPr>
          <w:rFonts w:ascii="Verdana" w:hAnsi="Verdana" w:cs="Arial"/>
          <w:sz w:val="24"/>
          <w:szCs w:val="24"/>
        </w:rPr>
        <w:t>] states that [</w:t>
      </w:r>
      <w:r w:rsidR="00020E3E" w:rsidRPr="00020E3E">
        <w:rPr>
          <w:rFonts w:ascii="Verdana" w:hAnsi="Verdana" w:cs="Arial"/>
          <w:sz w:val="24"/>
          <w:szCs w:val="24"/>
          <w:highlight w:val="yellow"/>
        </w:rPr>
        <w:t>add information from local formulary</w:t>
      </w:r>
      <w:r w:rsidR="00020E3E">
        <w:rPr>
          <w:rFonts w:ascii="Verdana" w:hAnsi="Verdana" w:cs="Arial"/>
          <w:sz w:val="24"/>
          <w:szCs w:val="24"/>
        </w:rPr>
        <w:t>].[1]</w:t>
      </w:r>
    </w:p>
    <w:p w14:paraId="38965E4C" w14:textId="77777777" w:rsidR="00020E3E" w:rsidRDefault="00020E3E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</w:p>
    <w:p w14:paraId="7BAC4B78" w14:textId="77777777" w:rsidR="00020E3E" w:rsidRDefault="00020E3E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 w:rsidRPr="00020E3E">
        <w:rPr>
          <w:rFonts w:ascii="Verdana" w:hAnsi="Verdana" w:cs="Arial"/>
          <w:sz w:val="24"/>
          <w:szCs w:val="24"/>
        </w:rPr>
        <w:t>NHS England guidance on items which should not be routinely prescribed in primary care includes</w:t>
      </w:r>
      <w:r w:rsidR="00BC1FC8" w:rsidRPr="00BC1FC8">
        <w:t xml:space="preserve"> </w:t>
      </w:r>
      <w:r w:rsidR="00BC1FC8" w:rsidRPr="00BC1FC8">
        <w:rPr>
          <w:rFonts w:ascii="Verdana" w:hAnsi="Verdana" w:cs="Arial"/>
          <w:sz w:val="24"/>
          <w:szCs w:val="24"/>
        </w:rPr>
        <w:t>lutein and antioxidants</w:t>
      </w:r>
      <w:r w:rsidRPr="00020E3E">
        <w:rPr>
          <w:rFonts w:ascii="Verdana" w:hAnsi="Verdana" w:cs="Arial"/>
          <w:sz w:val="24"/>
          <w:szCs w:val="24"/>
        </w:rPr>
        <w:t xml:space="preserve">. They are classified as items of low clinical effectiveness, where there is a lack of robust evidence </w:t>
      </w:r>
      <w:r w:rsidRPr="00020E3E">
        <w:rPr>
          <w:rFonts w:ascii="Verdana" w:hAnsi="Verdana" w:cs="Arial"/>
          <w:sz w:val="24"/>
          <w:szCs w:val="24"/>
        </w:rPr>
        <w:lastRenderedPageBreak/>
        <w:t xml:space="preserve">of clinical effectiveness or significant safety concerns. The guidance recommends that </w:t>
      </w:r>
      <w:r w:rsidR="00BC1FC8">
        <w:rPr>
          <w:rFonts w:ascii="Verdana" w:hAnsi="Verdana" w:cs="Arial"/>
          <w:sz w:val="24"/>
          <w:szCs w:val="24"/>
        </w:rPr>
        <w:t>these supplements</w:t>
      </w:r>
      <w:r w:rsidRPr="00020E3E">
        <w:rPr>
          <w:rFonts w:ascii="Verdana" w:hAnsi="Verdana" w:cs="Arial"/>
          <w:sz w:val="24"/>
          <w:szCs w:val="24"/>
        </w:rPr>
        <w:t xml:space="preserve"> should not be initiated and that they should be deprescribed where they are currently prescribed.</w:t>
      </w:r>
      <w:r w:rsidR="00FA7F4C">
        <w:rPr>
          <w:rFonts w:ascii="Verdana" w:hAnsi="Verdana" w:cs="Arial"/>
          <w:sz w:val="24"/>
          <w:szCs w:val="24"/>
        </w:rPr>
        <w:t>[</w:t>
      </w:r>
      <w:r>
        <w:rPr>
          <w:rFonts w:ascii="Verdana" w:hAnsi="Verdana" w:cs="Arial"/>
          <w:sz w:val="24"/>
          <w:szCs w:val="24"/>
        </w:rPr>
        <w:t>2</w:t>
      </w:r>
      <w:r w:rsidRPr="00020E3E">
        <w:rPr>
          <w:rFonts w:ascii="Verdana" w:hAnsi="Verdana" w:cs="Arial"/>
          <w:sz w:val="24"/>
          <w:szCs w:val="24"/>
        </w:rPr>
        <w:t>]</w:t>
      </w:r>
    </w:p>
    <w:p w14:paraId="1BD82DD6" w14:textId="77777777" w:rsidR="00B2037F" w:rsidRDefault="00B2037F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</w:p>
    <w:p w14:paraId="4F632C4E" w14:textId="77777777" w:rsidR="00B2037F" w:rsidRDefault="00FA7F4C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practice will therefore not be issuing further prescriptions for </w:t>
      </w:r>
      <w:r w:rsidR="00BC1FC8">
        <w:rPr>
          <w:rFonts w:ascii="Verdana" w:hAnsi="Verdana" w:cs="Arial"/>
          <w:sz w:val="24"/>
          <w:szCs w:val="24"/>
        </w:rPr>
        <w:t xml:space="preserve">antioxidant supplements for eye health </w:t>
      </w:r>
      <w:r>
        <w:rPr>
          <w:rFonts w:ascii="Verdana" w:hAnsi="Verdana" w:cs="Arial"/>
          <w:sz w:val="24"/>
          <w:szCs w:val="24"/>
        </w:rPr>
        <w:t>and will be notify</w:t>
      </w:r>
      <w:r w:rsidR="009A0723">
        <w:rPr>
          <w:rFonts w:ascii="Verdana" w:hAnsi="Verdana" w:cs="Arial"/>
          <w:sz w:val="24"/>
          <w:szCs w:val="24"/>
        </w:rPr>
        <w:t>ing</w:t>
      </w:r>
      <w:r>
        <w:rPr>
          <w:rFonts w:ascii="Verdana" w:hAnsi="Verdana" w:cs="Arial"/>
          <w:sz w:val="24"/>
          <w:szCs w:val="24"/>
        </w:rPr>
        <w:t xml:space="preserve"> patients to explain this change.</w:t>
      </w:r>
      <w:r w:rsidR="0061363C">
        <w:rPr>
          <w:rFonts w:ascii="Verdana" w:hAnsi="Verdana" w:cs="Arial"/>
          <w:sz w:val="24"/>
          <w:szCs w:val="24"/>
        </w:rPr>
        <w:t xml:space="preserve"> Patients will be advised to purchase a suitable preparation if they wish to continue taking them.</w:t>
      </w:r>
    </w:p>
    <w:p w14:paraId="2AA783B4" w14:textId="77777777" w:rsidR="00BB239A" w:rsidRPr="00000CDB" w:rsidRDefault="00BB239A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</w:p>
    <w:p w14:paraId="77746249" w14:textId="77777777" w:rsidR="00A635D7" w:rsidRPr="00020E3E" w:rsidRDefault="00A635D7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 w:rsidRPr="00020E3E">
        <w:rPr>
          <w:rFonts w:ascii="Verdana" w:hAnsi="Verdana" w:cs="Arial"/>
          <w:sz w:val="24"/>
          <w:szCs w:val="24"/>
        </w:rPr>
        <w:t>Yours sincerely</w:t>
      </w:r>
    </w:p>
    <w:p w14:paraId="46EB78D0" w14:textId="77777777" w:rsidR="00FE2B6D" w:rsidRPr="00020E3E" w:rsidRDefault="00C44117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 w:rsidRPr="00020E3E">
        <w:rPr>
          <w:rFonts w:ascii="Verdana" w:hAnsi="Verdana" w:cs="Arial"/>
          <w:sz w:val="24"/>
          <w:szCs w:val="24"/>
        </w:rPr>
        <w:t xml:space="preserve">Dr </w:t>
      </w:r>
      <w:r w:rsidRPr="00020E3E">
        <w:rPr>
          <w:rFonts w:ascii="Verdana" w:hAnsi="Verdana" w:cs="Arial"/>
          <w:sz w:val="24"/>
          <w:szCs w:val="24"/>
          <w:highlight w:val="yellow"/>
        </w:rPr>
        <w:t>XXX</w:t>
      </w:r>
      <w:r w:rsidRPr="00020E3E">
        <w:rPr>
          <w:rFonts w:ascii="Verdana" w:hAnsi="Verdana" w:cs="Arial"/>
          <w:sz w:val="24"/>
          <w:szCs w:val="24"/>
        </w:rPr>
        <w:t xml:space="preserve"> and partners</w:t>
      </w:r>
    </w:p>
    <w:p w14:paraId="5286ABC9" w14:textId="77777777" w:rsidR="00020E3E" w:rsidRPr="00020E3E" w:rsidRDefault="00020E3E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</w:p>
    <w:p w14:paraId="13793143" w14:textId="77777777" w:rsidR="00020E3E" w:rsidRPr="00020E3E" w:rsidRDefault="00020E3E" w:rsidP="00000CDB">
      <w:pPr>
        <w:spacing w:before="120" w:after="120" w:line="360" w:lineRule="atLeast"/>
        <w:rPr>
          <w:rFonts w:ascii="Verdana" w:hAnsi="Verdana" w:cs="Arial"/>
          <w:sz w:val="24"/>
          <w:szCs w:val="24"/>
        </w:rPr>
      </w:pPr>
      <w:r w:rsidRPr="00020E3E">
        <w:rPr>
          <w:rFonts w:ascii="Verdana" w:hAnsi="Verdana" w:cs="Arial"/>
          <w:sz w:val="24"/>
          <w:szCs w:val="24"/>
        </w:rPr>
        <w:t>References</w:t>
      </w:r>
    </w:p>
    <w:p w14:paraId="2B6398C1" w14:textId="77777777" w:rsidR="00020E3E" w:rsidRDefault="00020E3E" w:rsidP="00020E3E">
      <w:pPr>
        <w:numPr>
          <w:ilvl w:val="0"/>
          <w:numId w:val="3"/>
        </w:numPr>
        <w:spacing w:before="120" w:after="120" w:line="360" w:lineRule="atLeas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[</w:t>
      </w:r>
      <w:r w:rsidRPr="00020E3E">
        <w:rPr>
          <w:rFonts w:ascii="Verdana" w:hAnsi="Verdana"/>
          <w:bCs/>
          <w:sz w:val="24"/>
          <w:szCs w:val="24"/>
          <w:highlight w:val="yellow"/>
        </w:rPr>
        <w:t xml:space="preserve">Name of local formulary and </w:t>
      </w:r>
      <w:r>
        <w:rPr>
          <w:rFonts w:ascii="Verdana" w:hAnsi="Verdana"/>
          <w:bCs/>
          <w:sz w:val="24"/>
          <w:szCs w:val="24"/>
          <w:highlight w:val="yellow"/>
        </w:rPr>
        <w:t>hyper</w:t>
      </w:r>
      <w:r w:rsidRPr="00020E3E">
        <w:rPr>
          <w:rFonts w:ascii="Verdana" w:hAnsi="Verdana"/>
          <w:bCs/>
          <w:sz w:val="24"/>
          <w:szCs w:val="24"/>
          <w:highlight w:val="yellow"/>
        </w:rPr>
        <w:t>link</w:t>
      </w:r>
      <w:r>
        <w:rPr>
          <w:rFonts w:ascii="Verdana" w:hAnsi="Verdana"/>
          <w:bCs/>
          <w:sz w:val="24"/>
          <w:szCs w:val="24"/>
        </w:rPr>
        <w:t>]</w:t>
      </w:r>
    </w:p>
    <w:p w14:paraId="26E7ED8B" w14:textId="77777777" w:rsidR="00020E3E" w:rsidRDefault="00020E3E" w:rsidP="00020E3E">
      <w:pPr>
        <w:numPr>
          <w:ilvl w:val="0"/>
          <w:numId w:val="3"/>
        </w:numPr>
        <w:spacing w:before="120" w:after="120" w:line="360" w:lineRule="atLeast"/>
        <w:rPr>
          <w:rFonts w:ascii="Verdana" w:hAnsi="Verdana"/>
          <w:bCs/>
          <w:sz w:val="24"/>
          <w:szCs w:val="24"/>
        </w:rPr>
      </w:pPr>
      <w:r w:rsidRPr="00020E3E">
        <w:rPr>
          <w:rFonts w:ascii="Verdana" w:hAnsi="Verdana"/>
          <w:bCs/>
          <w:sz w:val="24"/>
          <w:szCs w:val="24"/>
        </w:rPr>
        <w:t xml:space="preserve">NHS England. Items which should not routinely be prescribed in primary care: policy guidance. Published: 3 August 2023, last updated </w:t>
      </w:r>
      <w:r w:rsidR="00BC1FC8">
        <w:rPr>
          <w:rFonts w:ascii="Verdana" w:hAnsi="Verdana"/>
          <w:bCs/>
          <w:sz w:val="24"/>
          <w:szCs w:val="24"/>
        </w:rPr>
        <w:t xml:space="preserve">30 August 2024. </w:t>
      </w:r>
      <w:hyperlink r:id="rId6" w:history="1">
        <w:r w:rsidRPr="00020E3E">
          <w:rPr>
            <w:rStyle w:val="Hyperlink"/>
            <w:rFonts w:ascii="Verdana" w:hAnsi="Verdana"/>
            <w:bCs/>
            <w:sz w:val="24"/>
            <w:szCs w:val="24"/>
          </w:rPr>
          <w:t>https://www.england.nhs.uk/long-read/items-which-should-not-routinely-be-prescribed-in-primary-care-policy-guidance/</w:t>
        </w:r>
      </w:hyperlink>
      <w:r w:rsidRPr="00020E3E">
        <w:rPr>
          <w:rFonts w:ascii="Verdana" w:hAnsi="Verdana"/>
          <w:bCs/>
          <w:sz w:val="24"/>
          <w:szCs w:val="24"/>
        </w:rPr>
        <w:t xml:space="preserve"> </w:t>
      </w:r>
    </w:p>
    <w:p w14:paraId="2A90C7A3" w14:textId="77777777" w:rsidR="00BB239A" w:rsidRPr="00020E3E" w:rsidRDefault="00BB239A" w:rsidP="00BB239A">
      <w:pPr>
        <w:spacing w:before="120" w:after="120" w:line="360" w:lineRule="atLeast"/>
        <w:rPr>
          <w:rFonts w:ascii="Verdana" w:hAnsi="Verdana"/>
          <w:bCs/>
          <w:sz w:val="24"/>
          <w:szCs w:val="24"/>
        </w:rPr>
      </w:pPr>
    </w:p>
    <w:p w14:paraId="0F477F66" w14:textId="77777777" w:rsidR="00020E3E" w:rsidRPr="00000CDB" w:rsidRDefault="00020E3E" w:rsidP="00020E3E">
      <w:pPr>
        <w:spacing w:before="120" w:after="120" w:line="360" w:lineRule="atLeast"/>
        <w:ind w:left="360"/>
        <w:rPr>
          <w:rFonts w:ascii="Verdana" w:hAnsi="Verdana"/>
          <w:sz w:val="24"/>
          <w:szCs w:val="24"/>
        </w:rPr>
      </w:pPr>
    </w:p>
    <w:sectPr w:rsidR="00020E3E" w:rsidRPr="00000CDB" w:rsidSect="001956B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0A8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F61C8"/>
    <w:multiLevelType w:val="hybridMultilevel"/>
    <w:tmpl w:val="0E8C8304"/>
    <w:lvl w:ilvl="0" w:tplc="4DC84A6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1268"/>
    <w:multiLevelType w:val="hybridMultilevel"/>
    <w:tmpl w:val="9E908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5D6A"/>
    <w:multiLevelType w:val="hybridMultilevel"/>
    <w:tmpl w:val="DD34B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2053"/>
    <w:multiLevelType w:val="hybridMultilevel"/>
    <w:tmpl w:val="9C2AA2B6"/>
    <w:lvl w:ilvl="0" w:tplc="508EB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389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523731">
    <w:abstractNumId w:val="0"/>
  </w:num>
  <w:num w:numId="2" w16cid:durableId="505291694">
    <w:abstractNumId w:val="4"/>
  </w:num>
  <w:num w:numId="3" w16cid:durableId="2126657550">
    <w:abstractNumId w:val="1"/>
  </w:num>
  <w:num w:numId="4" w16cid:durableId="578952986">
    <w:abstractNumId w:val="2"/>
  </w:num>
  <w:num w:numId="5" w16cid:durableId="176364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E"/>
    <w:rsid w:val="00000CDB"/>
    <w:rsid w:val="000133F4"/>
    <w:rsid w:val="00017A99"/>
    <w:rsid w:val="00020E3E"/>
    <w:rsid w:val="00075F5C"/>
    <w:rsid w:val="000B7737"/>
    <w:rsid w:val="000C1BE0"/>
    <w:rsid w:val="001041BA"/>
    <w:rsid w:val="00125AC9"/>
    <w:rsid w:val="001362E5"/>
    <w:rsid w:val="001376D7"/>
    <w:rsid w:val="001406D8"/>
    <w:rsid w:val="001419E1"/>
    <w:rsid w:val="001427F0"/>
    <w:rsid w:val="00150538"/>
    <w:rsid w:val="00156AD1"/>
    <w:rsid w:val="00194B58"/>
    <w:rsid w:val="001956B9"/>
    <w:rsid w:val="001B6985"/>
    <w:rsid w:val="001D0F1B"/>
    <w:rsid w:val="001D7F5B"/>
    <w:rsid w:val="001F010B"/>
    <w:rsid w:val="00201483"/>
    <w:rsid w:val="0021426B"/>
    <w:rsid w:val="0026458C"/>
    <w:rsid w:val="00276C2F"/>
    <w:rsid w:val="00293184"/>
    <w:rsid w:val="002E1AAE"/>
    <w:rsid w:val="002E795E"/>
    <w:rsid w:val="00310E52"/>
    <w:rsid w:val="00320FB1"/>
    <w:rsid w:val="0036592D"/>
    <w:rsid w:val="003B5FBC"/>
    <w:rsid w:val="003C5D2A"/>
    <w:rsid w:val="003F787C"/>
    <w:rsid w:val="00410058"/>
    <w:rsid w:val="00486B4B"/>
    <w:rsid w:val="004A2AFB"/>
    <w:rsid w:val="004A4002"/>
    <w:rsid w:val="004C614F"/>
    <w:rsid w:val="005076F6"/>
    <w:rsid w:val="00540DA7"/>
    <w:rsid w:val="00557BD0"/>
    <w:rsid w:val="005612B9"/>
    <w:rsid w:val="005A72F1"/>
    <w:rsid w:val="005B2750"/>
    <w:rsid w:val="00612727"/>
    <w:rsid w:val="00613231"/>
    <w:rsid w:val="0061363C"/>
    <w:rsid w:val="006B7649"/>
    <w:rsid w:val="006B7EFD"/>
    <w:rsid w:val="006D2299"/>
    <w:rsid w:val="006E1049"/>
    <w:rsid w:val="006F661D"/>
    <w:rsid w:val="006F68CE"/>
    <w:rsid w:val="007067B8"/>
    <w:rsid w:val="0071403F"/>
    <w:rsid w:val="00731A57"/>
    <w:rsid w:val="00731BDB"/>
    <w:rsid w:val="007471DA"/>
    <w:rsid w:val="00755667"/>
    <w:rsid w:val="00764C80"/>
    <w:rsid w:val="00770956"/>
    <w:rsid w:val="00781C4A"/>
    <w:rsid w:val="007A163E"/>
    <w:rsid w:val="007A6982"/>
    <w:rsid w:val="007D4891"/>
    <w:rsid w:val="00806DA9"/>
    <w:rsid w:val="00817AC2"/>
    <w:rsid w:val="00835BB8"/>
    <w:rsid w:val="008B1BB0"/>
    <w:rsid w:val="008B6A28"/>
    <w:rsid w:val="008C4C6F"/>
    <w:rsid w:val="008F22A5"/>
    <w:rsid w:val="009012A0"/>
    <w:rsid w:val="009066EF"/>
    <w:rsid w:val="0094709A"/>
    <w:rsid w:val="00955553"/>
    <w:rsid w:val="00955E4F"/>
    <w:rsid w:val="00976691"/>
    <w:rsid w:val="009A0723"/>
    <w:rsid w:val="009D219B"/>
    <w:rsid w:val="009D7873"/>
    <w:rsid w:val="00A02F8C"/>
    <w:rsid w:val="00A13D15"/>
    <w:rsid w:val="00A2476A"/>
    <w:rsid w:val="00A50424"/>
    <w:rsid w:val="00A635D7"/>
    <w:rsid w:val="00A63B49"/>
    <w:rsid w:val="00AA06B2"/>
    <w:rsid w:val="00AD4665"/>
    <w:rsid w:val="00B2037F"/>
    <w:rsid w:val="00B262B3"/>
    <w:rsid w:val="00B45DEE"/>
    <w:rsid w:val="00B83E7E"/>
    <w:rsid w:val="00B95F84"/>
    <w:rsid w:val="00BA2190"/>
    <w:rsid w:val="00BA28D1"/>
    <w:rsid w:val="00BB239A"/>
    <w:rsid w:val="00BC05CC"/>
    <w:rsid w:val="00BC1FC8"/>
    <w:rsid w:val="00C44117"/>
    <w:rsid w:val="00C4761B"/>
    <w:rsid w:val="00C91B64"/>
    <w:rsid w:val="00CE0BE3"/>
    <w:rsid w:val="00CE7690"/>
    <w:rsid w:val="00CF157D"/>
    <w:rsid w:val="00DB3903"/>
    <w:rsid w:val="00DC7565"/>
    <w:rsid w:val="00DD13FB"/>
    <w:rsid w:val="00DE04BE"/>
    <w:rsid w:val="00E4115F"/>
    <w:rsid w:val="00EA72BA"/>
    <w:rsid w:val="00EE01F9"/>
    <w:rsid w:val="00EE0496"/>
    <w:rsid w:val="00F13107"/>
    <w:rsid w:val="00F35978"/>
    <w:rsid w:val="00F46D96"/>
    <w:rsid w:val="00F50939"/>
    <w:rsid w:val="00F7188F"/>
    <w:rsid w:val="00F97148"/>
    <w:rsid w:val="00FA7F4C"/>
    <w:rsid w:val="00FE2B6D"/>
    <w:rsid w:val="00FE76F2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BEB92"/>
  <w15:chartTrackingRefBased/>
  <w15:docId w15:val="{8051D52B-DCA9-42B5-AE41-D38DC12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A2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AF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4A2A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2AF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AF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A2AF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F4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0E3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20E3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2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land.nhs.uk/long-read/items-which-should-not-routinely-be-prescribed-in-primary-care-policy-guid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76709D-47C0-7441-BC60-024AE83A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6" baseType="variant"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https://www.england.nhs.uk/long-read/items-which-should-not-routinely-be-prescribed-in-primary-care-policy-guidance/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Sajida K.</dc:creator>
  <cp:keywords/>
  <cp:lastModifiedBy>Karen Homan</cp:lastModifiedBy>
  <cp:revision>3</cp:revision>
  <cp:lastPrinted>2023-11-15T14:53:00Z</cp:lastPrinted>
  <dcterms:created xsi:type="dcterms:W3CDTF">2025-05-21T10:56:00Z</dcterms:created>
  <dcterms:modified xsi:type="dcterms:W3CDTF">2025-05-21T10:56:00Z</dcterms:modified>
</cp:coreProperties>
</file>